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BA2B2" w14:textId="05359FE2" w:rsidR="00ED2884" w:rsidRDefault="00645943" w:rsidP="00D36134">
      <w:pPr>
        <w:spacing w:after="200" w:line="280" w:lineRule="exact"/>
        <w:jc w:val="both"/>
        <w:rPr>
          <w:rFonts w:ascii="Hind Light" w:hAnsi="Hind Light" w:cs="Hind Light"/>
          <w:b/>
          <w:sz w:val="20"/>
          <w:szCs w:val="20"/>
          <w:lang w:eastAsia="en-GB"/>
        </w:rPr>
      </w:pPr>
      <w:bookmarkStart w:id="0" w:name="_Hlk478029639"/>
      <w:bookmarkStart w:id="1" w:name="_Hlk8378360"/>
      <w:bookmarkStart w:id="2" w:name="_GoBack"/>
      <w:bookmarkEnd w:id="2"/>
      <w:r w:rsidRPr="00216CB4">
        <w:rPr>
          <w:rFonts w:ascii="Hind Light" w:eastAsia="Hind Light" w:hAnsi="Hind Light" w:cs="Hind Light"/>
          <w:color w:val="3A82E4"/>
        </w:rPr>
        <w:t>Internet Access</w:t>
      </w:r>
    </w:p>
    <w:p w14:paraId="69461E91" w14:textId="35874504" w:rsidR="00AB5E5E" w:rsidRDefault="00AB5E5E" w:rsidP="00ED2884">
      <w:pPr>
        <w:jc w:val="both"/>
        <w:rPr>
          <w:rFonts w:ascii="Hind Light" w:hAnsi="Hind Light" w:cs="Hind Light"/>
          <w:b/>
          <w:sz w:val="20"/>
          <w:szCs w:val="20"/>
          <w:lang w:eastAsia="en-GB"/>
        </w:rPr>
      </w:pPr>
      <w:r>
        <w:rPr>
          <w:rFonts w:ascii="Hind Light" w:hAnsi="Hind Light" w:cs="Hind Light"/>
          <w:b/>
          <w:sz w:val="20"/>
          <w:szCs w:val="20"/>
          <w:lang w:eastAsia="en-GB"/>
        </w:rPr>
        <w:t>EU: The next European Parliament takes shape</w:t>
      </w:r>
    </w:p>
    <w:p w14:paraId="216F8BB6" w14:textId="6D349E60" w:rsidR="00AB5E5E" w:rsidRPr="00D36134" w:rsidRDefault="00AB5E5E" w:rsidP="00AB5E5E">
      <w:pPr>
        <w:pStyle w:val="Paragraphedeliste"/>
        <w:numPr>
          <w:ilvl w:val="0"/>
          <w:numId w:val="18"/>
        </w:numPr>
        <w:jc w:val="both"/>
        <w:rPr>
          <w:rFonts w:ascii="Hind Light" w:hAnsi="Hind Light" w:cs="Hind Light"/>
          <w:bCs/>
          <w:sz w:val="20"/>
          <w:szCs w:val="20"/>
          <w:lang w:eastAsia="en-GB"/>
        </w:rPr>
      </w:pPr>
      <w:r w:rsidRPr="00D36134">
        <w:rPr>
          <w:rFonts w:ascii="Hind Light" w:hAnsi="Hind Light" w:cs="Hind Light"/>
          <w:bCs/>
          <w:sz w:val="20"/>
          <w:szCs w:val="20"/>
          <w:lang w:eastAsia="en-GB"/>
        </w:rPr>
        <w:t xml:space="preserve">Following the EU elections on May 24-26, the new Members of the European Parliament </w:t>
      </w:r>
      <w:r w:rsidR="003D21CD">
        <w:rPr>
          <w:rFonts w:ascii="Hind Light" w:hAnsi="Hind Light" w:cs="Hind Light"/>
          <w:bCs/>
          <w:sz w:val="20"/>
          <w:szCs w:val="20"/>
          <w:lang w:eastAsia="en-GB"/>
        </w:rPr>
        <w:t xml:space="preserve">(MEPs) </w:t>
      </w:r>
      <w:r w:rsidRPr="00D36134">
        <w:rPr>
          <w:rFonts w:ascii="Hind Light" w:hAnsi="Hind Light" w:cs="Hind Light"/>
          <w:bCs/>
          <w:sz w:val="20"/>
          <w:szCs w:val="20"/>
          <w:lang w:eastAsia="en-GB"/>
        </w:rPr>
        <w:t>will be deciding in the coming weeks on committee membership and leadership, and eventually who will be leading on key digital files.</w:t>
      </w:r>
    </w:p>
    <w:p w14:paraId="07E68F70" w14:textId="51B82BFB" w:rsidR="00AB5E5E" w:rsidRPr="00D36134" w:rsidRDefault="00D36134" w:rsidP="00AB5E5E">
      <w:pPr>
        <w:pStyle w:val="Paragraphedeliste"/>
        <w:numPr>
          <w:ilvl w:val="0"/>
          <w:numId w:val="18"/>
        </w:numPr>
        <w:jc w:val="both"/>
        <w:rPr>
          <w:rFonts w:ascii="Hind Light" w:hAnsi="Hind Light" w:cs="Hind Light"/>
          <w:bCs/>
          <w:sz w:val="20"/>
          <w:szCs w:val="20"/>
          <w:lang w:eastAsia="en-GB"/>
        </w:rPr>
      </w:pPr>
      <w:r>
        <w:rPr>
          <w:rFonts w:ascii="Hind Light" w:hAnsi="Hind Light" w:cs="Hind Light"/>
          <w:bCs/>
          <w:sz w:val="20"/>
          <w:szCs w:val="20"/>
          <w:lang w:eastAsia="en-GB"/>
        </w:rPr>
        <w:t>R</w:t>
      </w:r>
      <w:r w:rsidR="00AB5E5E" w:rsidRPr="00D36134">
        <w:rPr>
          <w:rFonts w:ascii="Hind Light" w:hAnsi="Hind Light" w:cs="Hind Light"/>
          <w:bCs/>
          <w:sz w:val="20"/>
          <w:szCs w:val="20"/>
          <w:lang w:eastAsia="en-GB"/>
        </w:rPr>
        <w:t xml:space="preserve">eturning to the </w:t>
      </w:r>
      <w:r w:rsidR="003D21CD">
        <w:rPr>
          <w:rFonts w:ascii="Hind Light" w:hAnsi="Hind Light" w:cs="Hind Light"/>
          <w:bCs/>
          <w:sz w:val="20"/>
          <w:szCs w:val="20"/>
          <w:lang w:eastAsia="en-GB"/>
        </w:rPr>
        <w:t xml:space="preserve">European </w:t>
      </w:r>
      <w:r w:rsidR="00AB5E5E" w:rsidRPr="00D36134">
        <w:rPr>
          <w:rFonts w:ascii="Hind Light" w:hAnsi="Hind Light" w:cs="Hind Light"/>
          <w:bCs/>
          <w:sz w:val="20"/>
          <w:szCs w:val="20"/>
          <w:lang w:eastAsia="en-GB"/>
        </w:rPr>
        <w:t>Parliament</w:t>
      </w:r>
      <w:r>
        <w:rPr>
          <w:rFonts w:ascii="Hind Light" w:hAnsi="Hind Light" w:cs="Hind Light"/>
          <w:bCs/>
          <w:sz w:val="20"/>
          <w:szCs w:val="20"/>
          <w:lang w:eastAsia="en-GB"/>
        </w:rPr>
        <w:t xml:space="preserve"> </w:t>
      </w:r>
      <w:r w:rsidR="003D21CD">
        <w:rPr>
          <w:rFonts w:ascii="Hind Light" w:hAnsi="Hind Light" w:cs="Hind Light"/>
          <w:bCs/>
          <w:sz w:val="20"/>
          <w:szCs w:val="20"/>
          <w:lang w:eastAsia="en-GB"/>
        </w:rPr>
        <w:t>(EP) are</w:t>
      </w:r>
      <w:r>
        <w:rPr>
          <w:rFonts w:ascii="Hind Light" w:hAnsi="Hind Light" w:cs="Hind Light"/>
          <w:bCs/>
          <w:sz w:val="20"/>
          <w:szCs w:val="20"/>
          <w:lang w:eastAsia="en-GB"/>
        </w:rPr>
        <w:t xml:space="preserve"> a number of MEPs that held prominent positions on tech dossiers in the last mandate, including </w:t>
      </w:r>
      <w:r w:rsidR="00B04A56">
        <w:rPr>
          <w:rFonts w:ascii="Hind Light" w:hAnsi="Hind Light" w:cs="Hind Light"/>
          <w:bCs/>
          <w:sz w:val="20"/>
          <w:szCs w:val="20"/>
          <w:lang w:eastAsia="en-GB"/>
        </w:rPr>
        <w:t>Dutch ALDE Sophia in’t Veld</w:t>
      </w:r>
      <w:r>
        <w:rPr>
          <w:rFonts w:ascii="Hind Light" w:hAnsi="Hind Light" w:cs="Hind Light"/>
          <w:bCs/>
          <w:sz w:val="20"/>
          <w:szCs w:val="20"/>
          <w:lang w:eastAsia="en-GB"/>
        </w:rPr>
        <w:t xml:space="preserve"> (on privacy dossiers)</w:t>
      </w:r>
      <w:r w:rsidR="00B04A56">
        <w:rPr>
          <w:rFonts w:ascii="Hind Light" w:hAnsi="Hind Light" w:cs="Hind Light"/>
          <w:bCs/>
          <w:sz w:val="20"/>
          <w:szCs w:val="20"/>
          <w:lang w:eastAsia="en-GB"/>
        </w:rPr>
        <w:t xml:space="preserve">, German </w:t>
      </w:r>
      <w:r>
        <w:rPr>
          <w:rFonts w:ascii="Hind Light" w:hAnsi="Hind Light" w:cs="Hind Light"/>
          <w:bCs/>
          <w:sz w:val="20"/>
          <w:szCs w:val="20"/>
          <w:lang w:eastAsia="en-GB"/>
        </w:rPr>
        <w:t xml:space="preserve">MEPs </w:t>
      </w:r>
      <w:r w:rsidR="00B04A56">
        <w:rPr>
          <w:rFonts w:ascii="Hind Light" w:hAnsi="Hind Light" w:cs="Hind Light"/>
          <w:bCs/>
          <w:sz w:val="20"/>
          <w:szCs w:val="20"/>
          <w:lang w:eastAsia="en-GB"/>
        </w:rPr>
        <w:t>Brigit Sippel</w:t>
      </w:r>
      <w:r>
        <w:rPr>
          <w:rFonts w:ascii="Hind Light" w:hAnsi="Hind Light" w:cs="Hind Light"/>
          <w:bCs/>
          <w:sz w:val="20"/>
          <w:szCs w:val="20"/>
          <w:lang w:eastAsia="en-GB"/>
        </w:rPr>
        <w:t xml:space="preserve"> from the S&amp;D (former rapporteur of the e-evidence and e-privacy files) or the </w:t>
      </w:r>
      <w:r w:rsidR="00FA2C70">
        <w:rPr>
          <w:rFonts w:ascii="Hind Light" w:hAnsi="Hind Light" w:cs="Hind Light"/>
          <w:bCs/>
          <w:sz w:val="20"/>
          <w:szCs w:val="20"/>
          <w:lang w:eastAsia="en-GB"/>
        </w:rPr>
        <w:t>EPP</w:t>
      </w:r>
      <w:r>
        <w:rPr>
          <w:rFonts w:ascii="Hind Light" w:hAnsi="Hind Light" w:cs="Hind Light"/>
          <w:bCs/>
          <w:sz w:val="20"/>
          <w:szCs w:val="20"/>
          <w:lang w:eastAsia="en-GB"/>
        </w:rPr>
        <w:t>’s</w:t>
      </w:r>
      <w:r w:rsidR="00FA2C70">
        <w:rPr>
          <w:rFonts w:ascii="Hind Light" w:hAnsi="Hind Light" w:cs="Hind Light"/>
          <w:bCs/>
          <w:sz w:val="20"/>
          <w:szCs w:val="20"/>
          <w:lang w:eastAsia="en-GB"/>
        </w:rPr>
        <w:t xml:space="preserve"> Axel Voss </w:t>
      </w:r>
      <w:r>
        <w:rPr>
          <w:rFonts w:ascii="Hind Light" w:hAnsi="Hind Light" w:cs="Hind Light"/>
          <w:bCs/>
          <w:sz w:val="20"/>
          <w:szCs w:val="20"/>
          <w:lang w:eastAsia="en-GB"/>
        </w:rPr>
        <w:t xml:space="preserve">(responsible for the copyright file) </w:t>
      </w:r>
      <w:r w:rsidR="00FA2C70">
        <w:rPr>
          <w:rFonts w:ascii="Hind Light" w:hAnsi="Hind Light" w:cs="Hind Light"/>
          <w:bCs/>
          <w:sz w:val="20"/>
          <w:szCs w:val="20"/>
          <w:lang w:eastAsia="en-GB"/>
        </w:rPr>
        <w:t>and Angelika Niebler</w:t>
      </w:r>
      <w:r>
        <w:rPr>
          <w:rFonts w:ascii="Hind Light" w:hAnsi="Hind Light" w:cs="Hind Light"/>
          <w:bCs/>
          <w:sz w:val="20"/>
          <w:szCs w:val="20"/>
          <w:lang w:eastAsia="en-GB"/>
        </w:rPr>
        <w:t xml:space="preserve"> (who led the Cybersecurity Act negotiations), the Spanish MEP and former minister Pilar Del Castillo Vera (rapporteur on the Telecoms Code), Polish MEP Michal Boni (active on 5G and Wi-Fi) and Eva Kaili a Greek MEP active on blockchain and artificial intelligence.</w:t>
      </w:r>
      <w:r w:rsidR="00B04A56">
        <w:rPr>
          <w:rFonts w:ascii="Hind Light" w:hAnsi="Hind Light" w:cs="Hind Light"/>
          <w:bCs/>
          <w:sz w:val="20"/>
          <w:szCs w:val="20"/>
          <w:lang w:eastAsia="en-GB"/>
        </w:rPr>
        <w:t xml:space="preserve"> </w:t>
      </w:r>
    </w:p>
    <w:p w14:paraId="02D0AA39" w14:textId="0422C394" w:rsidR="00AB5E5E" w:rsidRPr="00D36134" w:rsidRDefault="00AB5E5E" w:rsidP="00AB5E5E">
      <w:pPr>
        <w:pStyle w:val="Paragraphedeliste"/>
        <w:numPr>
          <w:ilvl w:val="0"/>
          <w:numId w:val="18"/>
        </w:numPr>
        <w:jc w:val="both"/>
        <w:rPr>
          <w:rFonts w:ascii="Hind Light" w:hAnsi="Hind Light" w:cs="Hind Light"/>
          <w:bCs/>
          <w:sz w:val="20"/>
          <w:szCs w:val="20"/>
          <w:lang w:eastAsia="en-GB"/>
        </w:rPr>
      </w:pPr>
      <w:r w:rsidRPr="00D36134">
        <w:rPr>
          <w:rFonts w:ascii="Hind Light" w:hAnsi="Hind Light" w:cs="Hind Light"/>
          <w:bCs/>
          <w:sz w:val="20"/>
          <w:szCs w:val="20"/>
          <w:lang w:eastAsia="en-GB"/>
        </w:rPr>
        <w:t>Digital Commissioner Mariya Gabriel</w:t>
      </w:r>
      <w:r w:rsidR="00B04A56">
        <w:rPr>
          <w:rFonts w:ascii="Hind Light" w:hAnsi="Hind Light" w:cs="Hind Light"/>
          <w:bCs/>
          <w:sz w:val="20"/>
          <w:szCs w:val="20"/>
          <w:lang w:eastAsia="en-GB"/>
        </w:rPr>
        <w:t xml:space="preserve"> stated this week she would keep her position until the end of the Commission’s mandate, thus giving up her MEP seat. </w:t>
      </w:r>
      <w:r w:rsidR="003D21CD">
        <w:rPr>
          <w:rFonts w:ascii="Hind Light" w:hAnsi="Hind Light" w:cs="Hind Light"/>
          <w:bCs/>
          <w:sz w:val="20"/>
          <w:szCs w:val="20"/>
          <w:lang w:eastAsia="en-GB"/>
        </w:rPr>
        <w:t xml:space="preserve">Conversely, </w:t>
      </w:r>
      <w:r w:rsidR="00B04A56">
        <w:rPr>
          <w:rFonts w:ascii="Hind Light" w:hAnsi="Hind Light" w:cs="Hind Light"/>
          <w:bCs/>
          <w:sz w:val="20"/>
          <w:szCs w:val="20"/>
          <w:lang w:eastAsia="en-GB"/>
        </w:rPr>
        <w:t>Vice-President of the Commission Andrus Ansip</w:t>
      </w:r>
      <w:r w:rsidR="00D36134">
        <w:rPr>
          <w:rFonts w:ascii="Hind Light" w:hAnsi="Hind Light" w:cs="Hind Light"/>
          <w:bCs/>
          <w:sz w:val="20"/>
          <w:szCs w:val="20"/>
          <w:lang w:eastAsia="en-GB"/>
        </w:rPr>
        <w:t xml:space="preserve">, who was elected </w:t>
      </w:r>
      <w:r w:rsidR="003D21CD">
        <w:rPr>
          <w:rFonts w:ascii="Hind Light" w:hAnsi="Hind Light" w:cs="Hind Light"/>
          <w:bCs/>
          <w:sz w:val="20"/>
          <w:szCs w:val="20"/>
          <w:lang w:eastAsia="en-GB"/>
        </w:rPr>
        <w:t xml:space="preserve">in Estonia </w:t>
      </w:r>
      <w:r w:rsidR="00D36134">
        <w:rPr>
          <w:rFonts w:ascii="Hind Light" w:hAnsi="Hind Light" w:cs="Hind Light"/>
          <w:bCs/>
          <w:sz w:val="20"/>
          <w:szCs w:val="20"/>
          <w:lang w:eastAsia="en-GB"/>
        </w:rPr>
        <w:t xml:space="preserve">to the </w:t>
      </w:r>
      <w:r w:rsidR="003D21CD">
        <w:rPr>
          <w:rFonts w:ascii="Hind Light" w:hAnsi="Hind Light" w:cs="Hind Light"/>
          <w:bCs/>
          <w:sz w:val="20"/>
          <w:szCs w:val="20"/>
          <w:lang w:eastAsia="en-GB"/>
        </w:rPr>
        <w:t>EP</w:t>
      </w:r>
      <w:r w:rsidR="00D36134">
        <w:rPr>
          <w:rFonts w:ascii="Hind Light" w:hAnsi="Hind Light" w:cs="Hind Light"/>
          <w:bCs/>
          <w:sz w:val="20"/>
          <w:szCs w:val="20"/>
          <w:lang w:eastAsia="en-GB"/>
        </w:rPr>
        <w:t>,</w:t>
      </w:r>
      <w:r w:rsidR="00B04A56">
        <w:rPr>
          <w:rFonts w:ascii="Hind Light" w:hAnsi="Hind Light" w:cs="Hind Light"/>
          <w:bCs/>
          <w:sz w:val="20"/>
          <w:szCs w:val="20"/>
          <w:lang w:eastAsia="en-GB"/>
        </w:rPr>
        <w:t xml:space="preserve"> however suggested he would take his seat and give up on his executive post.</w:t>
      </w:r>
    </w:p>
    <w:p w14:paraId="30852760" w14:textId="7FAC855F" w:rsidR="00FA2C70" w:rsidRDefault="00FA2C70" w:rsidP="00AC60F8">
      <w:pPr>
        <w:pStyle w:val="Paragraphedeliste"/>
        <w:numPr>
          <w:ilvl w:val="0"/>
          <w:numId w:val="18"/>
        </w:numPr>
        <w:jc w:val="both"/>
        <w:rPr>
          <w:rFonts w:ascii="Hind Light" w:hAnsi="Hind Light" w:cs="Hind Light"/>
          <w:bCs/>
          <w:sz w:val="20"/>
          <w:szCs w:val="20"/>
          <w:lang w:eastAsia="en-GB"/>
        </w:rPr>
      </w:pPr>
      <w:r>
        <w:rPr>
          <w:rFonts w:ascii="Hind Light" w:hAnsi="Hind Light" w:cs="Hind Light"/>
          <w:bCs/>
          <w:sz w:val="20"/>
          <w:szCs w:val="20"/>
          <w:lang w:eastAsia="en-GB"/>
        </w:rPr>
        <w:t xml:space="preserve">Other recent developments include the four German members of the Pirate Party joining a strong Greens/EFA group in the European Parliament. </w:t>
      </w:r>
      <w:r w:rsidR="00D36134">
        <w:rPr>
          <w:rFonts w:ascii="Hind Light" w:hAnsi="Hind Light" w:cs="Hind Light"/>
          <w:bCs/>
          <w:sz w:val="20"/>
          <w:szCs w:val="20"/>
          <w:lang w:eastAsia="en-GB"/>
        </w:rPr>
        <w:t xml:space="preserve">Despite their former chair </w:t>
      </w:r>
      <w:r>
        <w:rPr>
          <w:rFonts w:ascii="Hind Light" w:hAnsi="Hind Light" w:cs="Hind Light"/>
          <w:bCs/>
          <w:sz w:val="20"/>
          <w:szCs w:val="20"/>
          <w:lang w:eastAsia="en-GB"/>
        </w:rPr>
        <w:t xml:space="preserve">Julia Reda not </w:t>
      </w:r>
      <w:r w:rsidR="00D36134">
        <w:rPr>
          <w:rFonts w:ascii="Hind Light" w:hAnsi="Hind Light" w:cs="Hind Light"/>
          <w:bCs/>
          <w:sz w:val="20"/>
          <w:szCs w:val="20"/>
          <w:lang w:eastAsia="en-GB"/>
        </w:rPr>
        <w:t>returning</w:t>
      </w:r>
      <w:r>
        <w:rPr>
          <w:rFonts w:ascii="Hind Light" w:hAnsi="Hind Light" w:cs="Hind Light"/>
          <w:bCs/>
          <w:sz w:val="20"/>
          <w:szCs w:val="20"/>
          <w:lang w:eastAsia="en-GB"/>
        </w:rPr>
        <w:t xml:space="preserve">, the party </w:t>
      </w:r>
      <w:r w:rsidR="00D36134">
        <w:rPr>
          <w:rFonts w:ascii="Hind Light" w:hAnsi="Hind Light" w:cs="Hind Light"/>
          <w:bCs/>
          <w:sz w:val="20"/>
          <w:szCs w:val="20"/>
          <w:lang w:eastAsia="en-GB"/>
        </w:rPr>
        <w:t xml:space="preserve">is likely to play a prominent role on </w:t>
      </w:r>
      <w:r>
        <w:rPr>
          <w:rFonts w:ascii="Hind Light" w:hAnsi="Hind Light" w:cs="Hind Light"/>
          <w:bCs/>
          <w:sz w:val="20"/>
          <w:szCs w:val="20"/>
          <w:lang w:eastAsia="en-GB"/>
        </w:rPr>
        <w:t xml:space="preserve">privacy issues. </w:t>
      </w:r>
      <w:r w:rsidR="00AC60F8">
        <w:rPr>
          <w:rFonts w:ascii="Hind Light" w:hAnsi="Hind Light" w:cs="Hind Light"/>
          <w:bCs/>
          <w:sz w:val="20"/>
          <w:szCs w:val="20"/>
          <w:lang w:eastAsia="en-GB"/>
        </w:rPr>
        <w:t xml:space="preserve">In addition, </w:t>
      </w:r>
      <w:r w:rsidRPr="00AC60F8">
        <w:rPr>
          <w:rFonts w:ascii="Hind Light" w:hAnsi="Hind Light" w:cs="Hind Light"/>
          <w:bCs/>
          <w:sz w:val="20"/>
          <w:szCs w:val="20"/>
          <w:lang w:eastAsia="en-GB"/>
        </w:rPr>
        <w:t xml:space="preserve">Czech EPP Pavel Svoboda, former chair of the European Parliament’s Legal Affairs Committee – </w:t>
      </w:r>
      <w:r w:rsidR="00AC60F8">
        <w:rPr>
          <w:rFonts w:ascii="Hind Light" w:hAnsi="Hind Light" w:cs="Hind Light"/>
          <w:bCs/>
          <w:sz w:val="20"/>
          <w:szCs w:val="20"/>
          <w:lang w:eastAsia="en-GB"/>
        </w:rPr>
        <w:t xml:space="preserve">which handles the EU’s </w:t>
      </w:r>
      <w:r w:rsidRPr="00AC60F8">
        <w:rPr>
          <w:rFonts w:ascii="Hind Light" w:hAnsi="Hind Light" w:cs="Hind Light"/>
          <w:bCs/>
          <w:sz w:val="20"/>
          <w:szCs w:val="20"/>
          <w:lang w:eastAsia="en-GB"/>
        </w:rPr>
        <w:t xml:space="preserve">copyright reform – </w:t>
      </w:r>
      <w:r w:rsidR="00AC60F8">
        <w:rPr>
          <w:rFonts w:ascii="Hind Light" w:hAnsi="Hind Light" w:cs="Hind Light"/>
          <w:bCs/>
          <w:sz w:val="20"/>
          <w:szCs w:val="20"/>
          <w:lang w:eastAsia="en-GB"/>
        </w:rPr>
        <w:t>was not re-elected, meaning the committee will appoint a new chair, likely to be done between the two Parliament plenary sessions planned in July</w:t>
      </w:r>
      <w:r w:rsidRPr="00AC60F8">
        <w:rPr>
          <w:rFonts w:ascii="Hind Light" w:hAnsi="Hind Light" w:cs="Hind Light"/>
          <w:bCs/>
          <w:sz w:val="20"/>
          <w:szCs w:val="20"/>
          <w:lang w:eastAsia="en-GB"/>
        </w:rPr>
        <w:t>.</w:t>
      </w:r>
    </w:p>
    <w:p w14:paraId="188579F9" w14:textId="6AB351C2" w:rsidR="006F3686" w:rsidRDefault="006F3686" w:rsidP="006F3686">
      <w:pPr>
        <w:jc w:val="both"/>
        <w:rPr>
          <w:rFonts w:ascii="Hind Light" w:hAnsi="Hind Light" w:cs="Hind Light"/>
          <w:bCs/>
          <w:sz w:val="20"/>
          <w:szCs w:val="20"/>
          <w:lang w:eastAsia="en-GB"/>
        </w:rPr>
      </w:pPr>
    </w:p>
    <w:p w14:paraId="4FC7527D" w14:textId="77777777" w:rsidR="006F3686" w:rsidRDefault="006F3686" w:rsidP="006F3686">
      <w:pPr>
        <w:jc w:val="both"/>
        <w:rPr>
          <w:rFonts w:ascii="Hind Light" w:hAnsi="Hind Light" w:cs="Hind Light"/>
          <w:b/>
          <w:sz w:val="20"/>
          <w:szCs w:val="20"/>
          <w:lang w:eastAsia="en-GB"/>
        </w:rPr>
      </w:pPr>
      <w:r>
        <w:rPr>
          <w:rFonts w:ascii="Hind Light" w:hAnsi="Hind Light" w:cs="Hind Light"/>
          <w:b/>
          <w:sz w:val="20"/>
          <w:szCs w:val="20"/>
          <w:lang w:eastAsia="en-GB"/>
        </w:rPr>
        <w:t>EU: 5G deployment remains fragmented in the EU, says new study.</w:t>
      </w:r>
    </w:p>
    <w:p w14:paraId="2CB45775" w14:textId="60D6C0DE" w:rsidR="006F3686" w:rsidRPr="00A33CE5" w:rsidRDefault="006F3686" w:rsidP="006F3686">
      <w:pPr>
        <w:pStyle w:val="Paragraphedeliste"/>
        <w:numPr>
          <w:ilvl w:val="0"/>
          <w:numId w:val="2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think tank Institut Montaigne has released a </w:t>
      </w:r>
      <w:hyperlink r:id="rId8" w:history="1">
        <w:r w:rsidRPr="00A33CE5">
          <w:rPr>
            <w:rStyle w:val="Lienhypertexte"/>
            <w:rFonts w:ascii="Hind Light" w:hAnsi="Hind Light" w:cs="Hind Light"/>
            <w:bCs/>
            <w:sz w:val="20"/>
            <w:szCs w:val="20"/>
            <w:lang w:eastAsia="en-GB"/>
          </w:rPr>
          <w:t>report</w:t>
        </w:r>
      </w:hyperlink>
      <w:r>
        <w:rPr>
          <w:rFonts w:ascii="Hind Light" w:hAnsi="Hind Light" w:cs="Hind Light"/>
          <w:bCs/>
          <w:sz w:val="20"/>
          <w:szCs w:val="20"/>
          <w:lang w:eastAsia="en-GB"/>
        </w:rPr>
        <w:t xml:space="preserve"> analysing 5G security policy and the presence of Chinese company Huawei on the European market.</w:t>
      </w:r>
    </w:p>
    <w:p w14:paraId="1D8BF960" w14:textId="77777777" w:rsidR="006F3686" w:rsidRPr="00A614E7" w:rsidRDefault="006F3686" w:rsidP="006F3686">
      <w:pPr>
        <w:pStyle w:val="Paragraphedeliste"/>
        <w:numPr>
          <w:ilvl w:val="0"/>
          <w:numId w:val="2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study finds that the EU is approaching 5G deployment in a fragmented or “dispersed order” due to the lack of a single telecoms market in the territory. </w:t>
      </w:r>
    </w:p>
    <w:p w14:paraId="1DEA917F" w14:textId="77777777" w:rsidR="006F3686" w:rsidRPr="00A614E7" w:rsidRDefault="006F3686" w:rsidP="006F3686">
      <w:pPr>
        <w:pStyle w:val="Paragraphedeliste"/>
        <w:numPr>
          <w:ilvl w:val="0"/>
          <w:numId w:val="25"/>
        </w:numPr>
        <w:jc w:val="both"/>
        <w:rPr>
          <w:rFonts w:ascii="Hind Light" w:hAnsi="Hind Light" w:cs="Hind Light"/>
          <w:b/>
          <w:sz w:val="20"/>
          <w:szCs w:val="20"/>
          <w:lang w:eastAsia="en-GB"/>
        </w:rPr>
      </w:pPr>
      <w:r>
        <w:rPr>
          <w:rFonts w:ascii="Hind Light" w:hAnsi="Hind Light" w:cs="Hind Light"/>
          <w:bCs/>
          <w:sz w:val="20"/>
          <w:szCs w:val="20"/>
          <w:lang w:eastAsia="en-GB"/>
        </w:rPr>
        <w:t>Some countries such as Poland, Italy, Spain, Portugal or the Netherlands show deep 5G penetration, whereas others like Norway, Estonia, Denmark or Slovenia have become more difficult markets for the 5G deployment.</w:t>
      </w:r>
    </w:p>
    <w:p w14:paraId="4ADC82C3" w14:textId="77777777" w:rsidR="006F3686" w:rsidRPr="00D36134" w:rsidRDefault="006F3686" w:rsidP="006F3686">
      <w:pPr>
        <w:pStyle w:val="Paragraphedeliste"/>
        <w:numPr>
          <w:ilvl w:val="0"/>
          <w:numId w:val="25"/>
        </w:numPr>
        <w:jc w:val="both"/>
        <w:rPr>
          <w:rFonts w:ascii="Hind Light" w:hAnsi="Hind Light" w:cs="Hind Light"/>
          <w:b/>
          <w:sz w:val="20"/>
          <w:szCs w:val="20"/>
          <w:lang w:eastAsia="en-GB"/>
        </w:rPr>
      </w:pPr>
      <w:r>
        <w:rPr>
          <w:rFonts w:ascii="Hind Light" w:hAnsi="Hind Light" w:cs="Hind Light"/>
          <w:bCs/>
          <w:sz w:val="20"/>
          <w:szCs w:val="20"/>
          <w:lang w:eastAsia="en-GB"/>
        </w:rPr>
        <w:t>The Montaigne</w:t>
      </w:r>
      <w:r w:rsidRPr="00D36134">
        <w:rPr>
          <w:rFonts w:ascii="Hind Light" w:hAnsi="Hind Light" w:cs="Hind Light"/>
          <w:bCs/>
          <w:sz w:val="20"/>
          <w:szCs w:val="20"/>
          <w:lang w:eastAsia="en-GB"/>
        </w:rPr>
        <w:t xml:space="preserve"> Institute</w:t>
      </w:r>
      <w:r>
        <w:rPr>
          <w:rFonts w:ascii="Hind Light" w:hAnsi="Hind Light" w:cs="Hind Light"/>
          <w:bCs/>
          <w:sz w:val="20"/>
          <w:szCs w:val="20"/>
          <w:lang w:eastAsia="en-GB"/>
        </w:rPr>
        <w:t>, broadly affiliated to centrist and liberal parties in France,</w:t>
      </w:r>
      <w:r w:rsidRPr="00D36134">
        <w:rPr>
          <w:rFonts w:ascii="Hind Light" w:hAnsi="Hind Light" w:cs="Hind Light"/>
          <w:bCs/>
          <w:sz w:val="20"/>
          <w:szCs w:val="20"/>
          <w:lang w:eastAsia="en-GB"/>
        </w:rPr>
        <w:t xml:space="preserve"> also offers a set of recommendations around considering 5G as a critical </w:t>
      </w:r>
      <w:r w:rsidRPr="00D36134">
        <w:rPr>
          <w:rFonts w:ascii="Hind Light" w:hAnsi="Hind Light" w:cs="Hind Light"/>
          <w:bCs/>
          <w:sz w:val="20"/>
          <w:szCs w:val="20"/>
          <w:lang w:eastAsia="en-GB"/>
        </w:rPr>
        <w:lastRenderedPageBreak/>
        <w:t>infrastructure for European sovereignty, acting according to precautionary principle</w:t>
      </w:r>
      <w:r>
        <w:rPr>
          <w:rFonts w:ascii="Hind Light" w:hAnsi="Hind Light" w:cs="Hind Light"/>
          <w:bCs/>
          <w:sz w:val="20"/>
          <w:szCs w:val="20"/>
          <w:lang w:eastAsia="en-GB"/>
        </w:rPr>
        <w:t>s</w:t>
      </w:r>
      <w:r w:rsidRPr="00D36134">
        <w:rPr>
          <w:rFonts w:ascii="Hind Light" w:hAnsi="Hind Light" w:cs="Hind Light"/>
          <w:bCs/>
          <w:sz w:val="20"/>
          <w:szCs w:val="20"/>
          <w:lang w:eastAsia="en-GB"/>
        </w:rPr>
        <w:t xml:space="preserve">, and supporting an ecosystem that results in technological competitiveness in Europe. </w:t>
      </w:r>
    </w:p>
    <w:p w14:paraId="492286C8" w14:textId="77777777" w:rsidR="00D36134" w:rsidRPr="006F3686" w:rsidRDefault="00D36134" w:rsidP="006F3686">
      <w:pPr>
        <w:jc w:val="both"/>
        <w:rPr>
          <w:rFonts w:ascii="Hind Light" w:hAnsi="Hind Light" w:cs="Hind Light"/>
          <w:bCs/>
          <w:sz w:val="20"/>
          <w:szCs w:val="20"/>
          <w:lang w:eastAsia="en-GB"/>
        </w:rPr>
      </w:pPr>
    </w:p>
    <w:p w14:paraId="672AF38D" w14:textId="210B727D" w:rsidR="00ED2884" w:rsidRDefault="00ED2884" w:rsidP="00ED2884">
      <w:pPr>
        <w:jc w:val="both"/>
        <w:rPr>
          <w:rFonts w:ascii="Hind Light" w:hAnsi="Hind Light" w:cs="Hind Light"/>
          <w:b/>
          <w:sz w:val="20"/>
          <w:szCs w:val="20"/>
          <w:lang w:eastAsia="en-GB"/>
        </w:rPr>
      </w:pPr>
      <w:r>
        <w:rPr>
          <w:rFonts w:ascii="Hind Light" w:hAnsi="Hind Light" w:cs="Hind Light"/>
          <w:b/>
          <w:sz w:val="20"/>
          <w:szCs w:val="20"/>
          <w:lang w:eastAsia="en-GB"/>
        </w:rPr>
        <w:t xml:space="preserve">EU: Court rules </w:t>
      </w:r>
      <w:r w:rsidR="00AC60F8">
        <w:rPr>
          <w:rFonts w:ascii="Hind Light" w:hAnsi="Hind Light" w:cs="Hind Light"/>
          <w:b/>
          <w:sz w:val="20"/>
          <w:szCs w:val="20"/>
          <w:lang w:eastAsia="en-GB"/>
        </w:rPr>
        <w:t>against</w:t>
      </w:r>
      <w:r>
        <w:rPr>
          <w:rFonts w:ascii="Hind Light" w:hAnsi="Hind Light" w:cs="Hind Light"/>
          <w:b/>
          <w:sz w:val="20"/>
          <w:szCs w:val="20"/>
          <w:lang w:eastAsia="en-GB"/>
        </w:rPr>
        <w:t xml:space="preserve"> </w:t>
      </w:r>
      <w:r w:rsidR="00AC60F8">
        <w:rPr>
          <w:rFonts w:ascii="Hind Light" w:hAnsi="Hind Light" w:cs="Hind Light"/>
          <w:b/>
          <w:sz w:val="20"/>
          <w:szCs w:val="20"/>
          <w:lang w:eastAsia="en-GB"/>
        </w:rPr>
        <w:t xml:space="preserve">Skype, saying it can be classified as a Telecoms operator </w:t>
      </w:r>
    </w:p>
    <w:p w14:paraId="75CE4C53" w14:textId="5F5585E2" w:rsidR="00ED2884" w:rsidRPr="00095044" w:rsidRDefault="00AC60F8" w:rsidP="00ED2884">
      <w:pPr>
        <w:pStyle w:val="Paragraphedeliste"/>
        <w:numPr>
          <w:ilvl w:val="0"/>
          <w:numId w:val="12"/>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r w:rsidR="00ED2884">
        <w:rPr>
          <w:rFonts w:ascii="Hind Light" w:hAnsi="Hind Light" w:cs="Hind Light"/>
          <w:bCs/>
          <w:sz w:val="20"/>
          <w:szCs w:val="20"/>
          <w:lang w:eastAsia="en-GB"/>
        </w:rPr>
        <w:t xml:space="preserve">European Court of Justice </w:t>
      </w:r>
      <w:hyperlink r:id="rId9" w:history="1">
        <w:r w:rsidR="00ED2884" w:rsidRPr="00614E51">
          <w:rPr>
            <w:rStyle w:val="Lienhypertexte"/>
            <w:rFonts w:ascii="Hind Light" w:hAnsi="Hind Light" w:cs="Hind Light"/>
            <w:bCs/>
            <w:sz w:val="20"/>
            <w:szCs w:val="20"/>
            <w:lang w:eastAsia="en-GB"/>
          </w:rPr>
          <w:t>ruled</w:t>
        </w:r>
      </w:hyperlink>
      <w:r w:rsidR="00ED2884">
        <w:rPr>
          <w:rFonts w:ascii="Hind Light" w:hAnsi="Hind Light" w:cs="Hind Light"/>
          <w:bCs/>
          <w:sz w:val="20"/>
          <w:szCs w:val="20"/>
          <w:lang w:eastAsia="en-GB"/>
        </w:rPr>
        <w:t xml:space="preserve"> earlier this week that calls placed to mobile and fixed phones using Skype as a server would constitute a telecom service and not an internal one. </w:t>
      </w:r>
    </w:p>
    <w:p w14:paraId="0652FFC5" w14:textId="3FB1A78E" w:rsidR="00ED2884" w:rsidRPr="00AC60F8" w:rsidRDefault="00AC60F8" w:rsidP="00ED2884">
      <w:pPr>
        <w:pStyle w:val="Paragraphedeliste"/>
        <w:numPr>
          <w:ilvl w:val="0"/>
          <w:numId w:val="12"/>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Microsoft-owned </w:t>
      </w:r>
      <w:r w:rsidR="00ED2884">
        <w:rPr>
          <w:rFonts w:ascii="Hind Light" w:hAnsi="Hind Light" w:cs="Hind Light"/>
          <w:bCs/>
          <w:sz w:val="20"/>
          <w:szCs w:val="20"/>
          <w:lang w:eastAsia="en-GB"/>
        </w:rPr>
        <w:t xml:space="preserve">‘Skype to Phone’ </w:t>
      </w:r>
      <w:r>
        <w:rPr>
          <w:rFonts w:ascii="Hind Light" w:hAnsi="Hind Light" w:cs="Hind Light"/>
          <w:bCs/>
          <w:sz w:val="20"/>
          <w:szCs w:val="20"/>
          <w:lang w:eastAsia="en-GB"/>
        </w:rPr>
        <w:t xml:space="preserve">service </w:t>
      </w:r>
      <w:r w:rsidR="00ED2884">
        <w:rPr>
          <w:rFonts w:ascii="Hind Light" w:hAnsi="Hind Light" w:cs="Hind Light"/>
          <w:bCs/>
          <w:sz w:val="20"/>
          <w:szCs w:val="20"/>
          <w:lang w:eastAsia="en-GB"/>
        </w:rPr>
        <w:t xml:space="preserve">allows users of a platform to place calls at a low-cost using Internet services with a technology known as “voice over IP” or VoIP. </w:t>
      </w:r>
    </w:p>
    <w:p w14:paraId="164A6927" w14:textId="2B721FD7" w:rsidR="00AC60F8" w:rsidRPr="006F3686" w:rsidRDefault="00AC60F8" w:rsidP="006F3686">
      <w:pPr>
        <w:pStyle w:val="Paragraphedeliste"/>
        <w:numPr>
          <w:ilvl w:val="0"/>
          <w:numId w:val="12"/>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ruling is likely to be welcomed by traditional telecoms </w:t>
      </w:r>
      <w:r w:rsidR="006F3686">
        <w:rPr>
          <w:rFonts w:ascii="Hind Light" w:hAnsi="Hind Light" w:cs="Hind Light"/>
          <w:bCs/>
          <w:sz w:val="20"/>
          <w:szCs w:val="20"/>
          <w:lang w:eastAsia="en-GB"/>
        </w:rPr>
        <w:t>operators and</w:t>
      </w:r>
      <w:r>
        <w:rPr>
          <w:rFonts w:ascii="Hind Light" w:hAnsi="Hind Light" w:cs="Hind Light"/>
          <w:bCs/>
          <w:sz w:val="20"/>
          <w:szCs w:val="20"/>
          <w:lang w:eastAsia="en-GB"/>
        </w:rPr>
        <w:t xml:space="preserve"> comes at a time when the European Commission seeks to level the gap between traditional telecoms providers and new </w:t>
      </w:r>
      <w:r w:rsidR="003D21CD">
        <w:rPr>
          <w:rFonts w:ascii="Hind Light" w:hAnsi="Hind Light" w:cs="Hind Light"/>
          <w:bCs/>
          <w:sz w:val="20"/>
          <w:szCs w:val="20"/>
          <w:lang w:eastAsia="en-GB"/>
        </w:rPr>
        <w:t>I</w:t>
      </w:r>
      <w:r>
        <w:rPr>
          <w:rFonts w:ascii="Hind Light" w:hAnsi="Hind Light" w:cs="Hind Light"/>
          <w:bCs/>
          <w:sz w:val="20"/>
          <w:szCs w:val="20"/>
          <w:lang w:eastAsia="en-GB"/>
        </w:rPr>
        <w:t>nternet-based rivals</w:t>
      </w:r>
      <w:r w:rsidR="006F3686">
        <w:rPr>
          <w:rFonts w:ascii="Hind Light" w:hAnsi="Hind Light" w:cs="Hind Light"/>
          <w:bCs/>
          <w:sz w:val="20"/>
          <w:szCs w:val="20"/>
          <w:lang w:eastAsia="en-GB"/>
        </w:rPr>
        <w:t>.</w:t>
      </w:r>
    </w:p>
    <w:p w14:paraId="10F3B3ED" w14:textId="5043DD3E" w:rsidR="00ED2884" w:rsidRPr="00D36134" w:rsidRDefault="00ED2884" w:rsidP="00D36134">
      <w:pPr>
        <w:pStyle w:val="Paragraphedeliste"/>
        <w:numPr>
          <w:ilvl w:val="0"/>
          <w:numId w:val="12"/>
        </w:numPr>
        <w:jc w:val="both"/>
        <w:rPr>
          <w:rFonts w:ascii="Hind Light" w:hAnsi="Hind Light" w:cs="Hind Light"/>
          <w:b/>
          <w:sz w:val="20"/>
          <w:szCs w:val="20"/>
          <w:lang w:eastAsia="en-GB"/>
        </w:rPr>
      </w:pPr>
      <w:r>
        <w:rPr>
          <w:rFonts w:ascii="Hind Light" w:hAnsi="Hind Light" w:cs="Hind Light"/>
          <w:bCs/>
          <w:sz w:val="20"/>
          <w:szCs w:val="20"/>
          <w:lang w:eastAsia="en-GB"/>
        </w:rPr>
        <w:t xml:space="preserve">Following </w:t>
      </w:r>
      <w:r w:rsidRPr="007A6430">
        <w:rPr>
          <w:rFonts w:ascii="Hind Light" w:hAnsi="Hind Light" w:cs="Hind Light"/>
          <w:bCs/>
          <w:sz w:val="20"/>
          <w:szCs w:val="20"/>
          <w:lang w:eastAsia="en-GB"/>
        </w:rPr>
        <w:t>the Court</w:t>
      </w:r>
      <w:r>
        <w:rPr>
          <w:rFonts w:ascii="Hind Light" w:hAnsi="Hind Light" w:cs="Hind Light"/>
          <w:bCs/>
          <w:sz w:val="20"/>
          <w:szCs w:val="20"/>
          <w:lang w:eastAsia="en-GB"/>
        </w:rPr>
        <w:t>’s</w:t>
      </w:r>
      <w:r w:rsidRPr="007A6430">
        <w:rPr>
          <w:rFonts w:ascii="Hind Light" w:hAnsi="Hind Light" w:cs="Hind Light"/>
          <w:bCs/>
          <w:sz w:val="20"/>
          <w:szCs w:val="20"/>
          <w:lang w:eastAsia="en-GB"/>
        </w:rPr>
        <w:t xml:space="preserve"> pronouncement, a </w:t>
      </w:r>
      <w:r w:rsidR="00AC60F8">
        <w:rPr>
          <w:rFonts w:ascii="Hind Light" w:hAnsi="Hind Light" w:cs="Hind Light"/>
          <w:bCs/>
          <w:sz w:val="20"/>
          <w:szCs w:val="20"/>
          <w:lang w:eastAsia="en-GB"/>
        </w:rPr>
        <w:t>Microsoft</w:t>
      </w:r>
      <w:r w:rsidRPr="007A6430">
        <w:rPr>
          <w:rFonts w:ascii="Hind Light" w:hAnsi="Hind Light" w:cs="Hind Light"/>
          <w:bCs/>
          <w:sz w:val="20"/>
          <w:szCs w:val="20"/>
          <w:lang w:eastAsia="en-GB"/>
        </w:rPr>
        <w:t xml:space="preserve"> spokesperson stated: “We welcome the clarity provided by the court […] Skype will comply with the Court’s final decision”</w:t>
      </w:r>
      <w:r>
        <w:rPr>
          <w:rFonts w:ascii="Hind Light" w:hAnsi="Hind Light" w:cs="Hind Light"/>
          <w:bCs/>
          <w:sz w:val="20"/>
          <w:szCs w:val="20"/>
          <w:lang w:eastAsia="en-GB"/>
        </w:rPr>
        <w:t>.</w:t>
      </w:r>
    </w:p>
    <w:p w14:paraId="514C1C10" w14:textId="39B23242" w:rsidR="00732928" w:rsidRDefault="00732928" w:rsidP="00732928">
      <w:pPr>
        <w:jc w:val="both"/>
        <w:rPr>
          <w:rFonts w:ascii="Hind Light" w:hAnsi="Hind Light" w:cs="Hind Light"/>
          <w:b/>
          <w:sz w:val="20"/>
          <w:szCs w:val="20"/>
          <w:lang w:eastAsia="en-GB"/>
        </w:rPr>
      </w:pPr>
    </w:p>
    <w:p w14:paraId="043EF335" w14:textId="5246A11A" w:rsidR="00732928" w:rsidRDefault="00ED2884" w:rsidP="00732928">
      <w:pPr>
        <w:jc w:val="both"/>
        <w:rPr>
          <w:rFonts w:ascii="Hind Light" w:hAnsi="Hind Light" w:cs="Hind Light"/>
          <w:b/>
          <w:sz w:val="20"/>
          <w:szCs w:val="20"/>
          <w:lang w:eastAsia="en-GB"/>
        </w:rPr>
      </w:pPr>
      <w:r>
        <w:rPr>
          <w:rFonts w:ascii="Hind Light" w:hAnsi="Hind Light" w:cs="Hind Light"/>
          <w:b/>
          <w:sz w:val="20"/>
          <w:szCs w:val="20"/>
          <w:lang w:eastAsia="en-GB"/>
        </w:rPr>
        <w:t>EU</w:t>
      </w:r>
      <w:r w:rsidR="00732928">
        <w:rPr>
          <w:rFonts w:ascii="Hind Light" w:hAnsi="Hind Light" w:cs="Hind Light"/>
          <w:b/>
          <w:sz w:val="20"/>
          <w:szCs w:val="20"/>
          <w:lang w:eastAsia="en-GB"/>
        </w:rPr>
        <w:t xml:space="preserve">: </w:t>
      </w:r>
      <w:r>
        <w:rPr>
          <w:rFonts w:ascii="Hind Light" w:hAnsi="Hind Light" w:cs="Hind Light"/>
          <w:b/>
          <w:sz w:val="20"/>
          <w:szCs w:val="20"/>
          <w:lang w:eastAsia="en-GB"/>
        </w:rPr>
        <w:t>M</w:t>
      </w:r>
      <w:r w:rsidR="00732928">
        <w:rPr>
          <w:rFonts w:ascii="Hind Light" w:hAnsi="Hind Light" w:cs="Hind Light"/>
          <w:b/>
          <w:sz w:val="20"/>
          <w:szCs w:val="20"/>
          <w:lang w:eastAsia="en-GB"/>
        </w:rPr>
        <w:t xml:space="preserve">inisters give green light to negotiate with the US on e-evidence </w:t>
      </w:r>
    </w:p>
    <w:p w14:paraId="63E3CD37" w14:textId="49046F63" w:rsidR="00732928" w:rsidRPr="003B584A" w:rsidRDefault="003B584A" w:rsidP="00732928">
      <w:pPr>
        <w:pStyle w:val="Paragraphedeliste"/>
        <w:numPr>
          <w:ilvl w:val="0"/>
          <w:numId w:val="17"/>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Council </w:t>
      </w:r>
      <w:hyperlink r:id="rId10" w:history="1">
        <w:r w:rsidRPr="00122ACB">
          <w:rPr>
            <w:rStyle w:val="Lienhypertexte"/>
            <w:rFonts w:ascii="Hind Light" w:hAnsi="Hind Light" w:cs="Hind Light"/>
            <w:bCs/>
            <w:sz w:val="20"/>
            <w:szCs w:val="20"/>
            <w:lang w:eastAsia="en-GB"/>
          </w:rPr>
          <w:t>authorised</w:t>
        </w:r>
      </w:hyperlink>
      <w:r>
        <w:rPr>
          <w:rFonts w:ascii="Hind Light" w:hAnsi="Hind Light" w:cs="Hind Light"/>
          <w:bCs/>
          <w:sz w:val="20"/>
          <w:szCs w:val="20"/>
          <w:lang w:eastAsia="en-GB"/>
        </w:rPr>
        <w:t xml:space="preserve"> yesterday the European Commission to negotiate on behalf of the EU an agreement with the </w:t>
      </w:r>
      <w:r w:rsidR="00ED2884">
        <w:rPr>
          <w:rFonts w:ascii="Hind Light" w:hAnsi="Hind Light" w:cs="Hind Light"/>
          <w:bCs/>
          <w:sz w:val="20"/>
          <w:szCs w:val="20"/>
          <w:lang w:eastAsia="en-GB"/>
        </w:rPr>
        <w:t xml:space="preserve">United States government </w:t>
      </w:r>
      <w:r>
        <w:rPr>
          <w:rFonts w:ascii="Hind Light" w:hAnsi="Hind Light" w:cs="Hind Light"/>
          <w:bCs/>
          <w:sz w:val="20"/>
          <w:szCs w:val="20"/>
          <w:lang w:eastAsia="en-GB"/>
        </w:rPr>
        <w:t xml:space="preserve">enabling </w:t>
      </w:r>
      <w:r w:rsidR="00ED2884">
        <w:rPr>
          <w:rFonts w:ascii="Hind Light" w:hAnsi="Hind Light" w:cs="Hind Light"/>
          <w:bCs/>
          <w:sz w:val="20"/>
          <w:szCs w:val="20"/>
          <w:lang w:eastAsia="en-GB"/>
        </w:rPr>
        <w:t xml:space="preserve">easier </w:t>
      </w:r>
      <w:r>
        <w:rPr>
          <w:rFonts w:ascii="Hind Light" w:hAnsi="Hind Light" w:cs="Hind Light"/>
          <w:bCs/>
          <w:sz w:val="20"/>
          <w:szCs w:val="20"/>
          <w:lang w:eastAsia="en-GB"/>
        </w:rPr>
        <w:t xml:space="preserve">access </w:t>
      </w:r>
      <w:r w:rsidR="00ED2884">
        <w:rPr>
          <w:rFonts w:ascii="Hind Light" w:hAnsi="Hind Light" w:cs="Hind Light"/>
          <w:bCs/>
          <w:sz w:val="20"/>
          <w:szCs w:val="20"/>
          <w:lang w:eastAsia="en-GB"/>
        </w:rPr>
        <w:t xml:space="preserve">for both sides </w:t>
      </w:r>
      <w:r>
        <w:rPr>
          <w:rFonts w:ascii="Hind Light" w:hAnsi="Hind Light" w:cs="Hind Light"/>
          <w:bCs/>
          <w:sz w:val="20"/>
          <w:szCs w:val="20"/>
          <w:lang w:eastAsia="en-GB"/>
        </w:rPr>
        <w:t xml:space="preserve">to </w:t>
      </w:r>
      <w:r w:rsidR="00ED2884">
        <w:rPr>
          <w:rFonts w:ascii="Hind Light" w:hAnsi="Hind Light" w:cs="Hind Light"/>
          <w:bCs/>
          <w:sz w:val="20"/>
          <w:szCs w:val="20"/>
          <w:lang w:eastAsia="en-GB"/>
        </w:rPr>
        <w:t xml:space="preserve">electronic </w:t>
      </w:r>
      <w:r>
        <w:rPr>
          <w:rFonts w:ascii="Hind Light" w:hAnsi="Hind Light" w:cs="Hind Light"/>
          <w:bCs/>
          <w:sz w:val="20"/>
          <w:szCs w:val="20"/>
          <w:lang w:eastAsia="en-GB"/>
        </w:rPr>
        <w:t xml:space="preserve">evidence </w:t>
      </w:r>
      <w:r w:rsidR="00ED2884">
        <w:rPr>
          <w:rFonts w:ascii="Hind Light" w:hAnsi="Hind Light" w:cs="Hind Light"/>
          <w:bCs/>
          <w:sz w:val="20"/>
          <w:szCs w:val="20"/>
          <w:lang w:eastAsia="en-GB"/>
        </w:rPr>
        <w:t xml:space="preserve">(e-evidence), in a bid </w:t>
      </w:r>
      <w:r>
        <w:rPr>
          <w:rFonts w:ascii="Hind Light" w:hAnsi="Hind Light" w:cs="Hind Light"/>
          <w:bCs/>
          <w:sz w:val="20"/>
          <w:szCs w:val="20"/>
          <w:lang w:eastAsia="en-GB"/>
        </w:rPr>
        <w:t xml:space="preserve">to enhance judicial cooperation. </w:t>
      </w:r>
    </w:p>
    <w:p w14:paraId="0A231555" w14:textId="507C8719" w:rsidR="003B584A" w:rsidRPr="00122ACB" w:rsidRDefault="00122ACB" w:rsidP="00732928">
      <w:pPr>
        <w:pStyle w:val="Paragraphedeliste"/>
        <w:numPr>
          <w:ilvl w:val="0"/>
          <w:numId w:val="17"/>
        </w:numPr>
        <w:jc w:val="both"/>
        <w:rPr>
          <w:rFonts w:ascii="Hind Light" w:hAnsi="Hind Light" w:cs="Hind Light"/>
          <w:b/>
          <w:sz w:val="20"/>
          <w:szCs w:val="20"/>
          <w:lang w:eastAsia="en-GB"/>
        </w:rPr>
      </w:pPr>
      <w:r>
        <w:rPr>
          <w:rFonts w:ascii="Hind Light" w:hAnsi="Hind Light" w:cs="Hind Light"/>
          <w:bCs/>
          <w:sz w:val="20"/>
          <w:szCs w:val="20"/>
          <w:lang w:eastAsia="en-GB"/>
        </w:rPr>
        <w:t xml:space="preserve">Improvements include judicial access to e-mails and documents located on the </w:t>
      </w:r>
      <w:r w:rsidR="00ED2884">
        <w:rPr>
          <w:rFonts w:ascii="Hind Light" w:hAnsi="Hind Light" w:cs="Hind Light"/>
          <w:bCs/>
          <w:sz w:val="20"/>
          <w:szCs w:val="20"/>
          <w:lang w:eastAsia="en-GB"/>
        </w:rPr>
        <w:t xml:space="preserve">cloud, thereby </w:t>
      </w:r>
      <w:r>
        <w:rPr>
          <w:rFonts w:ascii="Hind Light" w:hAnsi="Hind Light" w:cs="Hind Light"/>
          <w:bCs/>
          <w:sz w:val="20"/>
          <w:szCs w:val="20"/>
          <w:lang w:eastAsia="en-GB"/>
        </w:rPr>
        <w:t>complement</w:t>
      </w:r>
      <w:r w:rsidR="00ED2884">
        <w:rPr>
          <w:rFonts w:ascii="Hind Light" w:hAnsi="Hind Light" w:cs="Hind Light"/>
          <w:bCs/>
          <w:sz w:val="20"/>
          <w:szCs w:val="20"/>
          <w:lang w:eastAsia="en-GB"/>
        </w:rPr>
        <w:t xml:space="preserve">ing </w:t>
      </w:r>
      <w:r>
        <w:rPr>
          <w:rFonts w:ascii="Hind Light" w:hAnsi="Hind Light" w:cs="Hind Light"/>
          <w:bCs/>
          <w:sz w:val="20"/>
          <w:szCs w:val="20"/>
          <w:lang w:eastAsia="en-GB"/>
        </w:rPr>
        <w:t xml:space="preserve">the </w:t>
      </w:r>
      <w:r w:rsidR="00ED2884">
        <w:rPr>
          <w:rFonts w:ascii="Hind Light" w:hAnsi="Hind Light" w:cs="Hind Light"/>
          <w:bCs/>
          <w:sz w:val="20"/>
          <w:szCs w:val="20"/>
          <w:lang w:eastAsia="en-GB"/>
        </w:rPr>
        <w:t xml:space="preserve">existing </w:t>
      </w:r>
      <w:r>
        <w:rPr>
          <w:rFonts w:ascii="Hind Light" w:hAnsi="Hind Light" w:cs="Hind Light"/>
          <w:bCs/>
          <w:sz w:val="20"/>
          <w:szCs w:val="20"/>
          <w:lang w:eastAsia="en-GB"/>
        </w:rPr>
        <w:t xml:space="preserve">EU framework on access to e-evidence </w:t>
      </w:r>
      <w:r w:rsidR="00ED2884">
        <w:rPr>
          <w:rFonts w:ascii="Hind Light" w:hAnsi="Hind Light" w:cs="Hind Light"/>
          <w:bCs/>
          <w:sz w:val="20"/>
          <w:szCs w:val="20"/>
          <w:lang w:eastAsia="en-GB"/>
        </w:rPr>
        <w:t xml:space="preserve">– which is still being negotiated by EU </w:t>
      </w:r>
      <w:r w:rsidR="003D21CD">
        <w:rPr>
          <w:rFonts w:ascii="Hind Light" w:hAnsi="Hind Light" w:cs="Hind Light"/>
          <w:bCs/>
          <w:sz w:val="20"/>
          <w:szCs w:val="20"/>
          <w:lang w:eastAsia="en-GB"/>
        </w:rPr>
        <w:t>lawmakers</w:t>
      </w:r>
      <w:r>
        <w:rPr>
          <w:rFonts w:ascii="Hind Light" w:hAnsi="Hind Light" w:cs="Hind Light"/>
          <w:bCs/>
          <w:sz w:val="20"/>
          <w:szCs w:val="20"/>
          <w:lang w:eastAsia="en-GB"/>
        </w:rPr>
        <w:t xml:space="preserve">. </w:t>
      </w:r>
    </w:p>
    <w:p w14:paraId="033C226A" w14:textId="178A15EE" w:rsidR="00BE00FD" w:rsidRPr="00D36134" w:rsidRDefault="00ED2884" w:rsidP="00D36134">
      <w:pPr>
        <w:pStyle w:val="Paragraphedeliste"/>
        <w:numPr>
          <w:ilvl w:val="0"/>
          <w:numId w:val="17"/>
        </w:numPr>
        <w:jc w:val="both"/>
        <w:rPr>
          <w:rFonts w:ascii="Hind Light" w:hAnsi="Hind Light" w:cs="Hind Light"/>
          <w:b/>
          <w:sz w:val="20"/>
          <w:szCs w:val="20"/>
          <w:lang w:eastAsia="en-GB"/>
        </w:rPr>
      </w:pPr>
      <w:r>
        <w:rPr>
          <w:rFonts w:ascii="Hind Light" w:hAnsi="Hind Light" w:cs="Hind Light"/>
          <w:bCs/>
          <w:sz w:val="20"/>
          <w:szCs w:val="20"/>
          <w:lang w:eastAsia="en-GB"/>
        </w:rPr>
        <w:t xml:space="preserve">Speaking on behalf of the Presidency of the Council of the EU, </w:t>
      </w:r>
      <w:r w:rsidR="00122ACB">
        <w:rPr>
          <w:rFonts w:ascii="Hind Light" w:hAnsi="Hind Light" w:cs="Hind Light"/>
          <w:bCs/>
          <w:sz w:val="20"/>
          <w:szCs w:val="20"/>
          <w:lang w:eastAsia="en-GB"/>
        </w:rPr>
        <w:t>Romanian Minister for Justice</w:t>
      </w:r>
      <w:r>
        <w:rPr>
          <w:rFonts w:ascii="Hind Light" w:hAnsi="Hind Light" w:cs="Hind Light"/>
          <w:bCs/>
          <w:sz w:val="20"/>
          <w:szCs w:val="20"/>
          <w:lang w:eastAsia="en-GB"/>
        </w:rPr>
        <w:t>,</w:t>
      </w:r>
      <w:r w:rsidR="00B04A56">
        <w:rPr>
          <w:rFonts w:ascii="Hind Light" w:hAnsi="Hind Light" w:cs="Hind Light"/>
          <w:bCs/>
          <w:sz w:val="20"/>
          <w:szCs w:val="20"/>
          <w:lang w:eastAsia="en-GB"/>
        </w:rPr>
        <w:t xml:space="preserve"> Ana Birchall,</w:t>
      </w:r>
      <w:r>
        <w:rPr>
          <w:rFonts w:ascii="Hind Light" w:hAnsi="Hind Light" w:cs="Hind Light"/>
          <w:bCs/>
          <w:sz w:val="20"/>
          <w:szCs w:val="20"/>
          <w:lang w:eastAsia="en-GB"/>
        </w:rPr>
        <w:t xml:space="preserve"> </w:t>
      </w:r>
      <w:r w:rsidR="00122ACB">
        <w:rPr>
          <w:rFonts w:ascii="Hind Light" w:hAnsi="Hind Light" w:cs="Hind Light"/>
          <w:bCs/>
          <w:sz w:val="20"/>
          <w:szCs w:val="20"/>
          <w:lang w:eastAsia="en-GB"/>
        </w:rPr>
        <w:t xml:space="preserve">stated: “A lot of the data </w:t>
      </w:r>
      <w:r>
        <w:rPr>
          <w:rFonts w:ascii="Hind Light" w:hAnsi="Hind Light" w:cs="Hind Light"/>
          <w:bCs/>
          <w:sz w:val="20"/>
          <w:szCs w:val="20"/>
          <w:lang w:eastAsia="en-GB"/>
        </w:rPr>
        <w:t xml:space="preserve">is </w:t>
      </w:r>
      <w:r w:rsidR="00122ACB">
        <w:rPr>
          <w:rFonts w:ascii="Hind Light" w:hAnsi="Hind Light" w:cs="Hind Light"/>
          <w:bCs/>
          <w:sz w:val="20"/>
          <w:szCs w:val="20"/>
          <w:lang w:eastAsia="en-GB"/>
        </w:rPr>
        <w:t>needed to track down [these] criminals is stored in the U.S. or by U.S. companies. An EU-US agreement to speed up the access is therefor</w:t>
      </w:r>
      <w:r>
        <w:rPr>
          <w:rFonts w:ascii="Hind Light" w:hAnsi="Hind Light" w:cs="Hind Light"/>
          <w:bCs/>
          <w:sz w:val="20"/>
          <w:szCs w:val="20"/>
          <w:lang w:eastAsia="en-GB"/>
        </w:rPr>
        <w:t>e</w:t>
      </w:r>
      <w:r w:rsidR="00122ACB">
        <w:rPr>
          <w:rFonts w:ascii="Hind Light" w:hAnsi="Hind Light" w:cs="Hind Light"/>
          <w:bCs/>
          <w:sz w:val="20"/>
          <w:szCs w:val="20"/>
          <w:lang w:eastAsia="en-GB"/>
        </w:rPr>
        <w:t xml:space="preserve"> of outmost importance.”. </w:t>
      </w:r>
    </w:p>
    <w:p w14:paraId="507FD8F2" w14:textId="77777777" w:rsidR="00090517" w:rsidRPr="00090517" w:rsidRDefault="00090517" w:rsidP="00090517">
      <w:pPr>
        <w:jc w:val="both"/>
        <w:rPr>
          <w:rFonts w:ascii="Hind Light" w:hAnsi="Hind Light" w:cs="Hind Light"/>
          <w:b/>
          <w:sz w:val="20"/>
          <w:szCs w:val="20"/>
          <w:lang w:eastAsia="en-GB"/>
        </w:rPr>
      </w:pPr>
    </w:p>
    <w:p w14:paraId="1F5B2057" w14:textId="217C192C" w:rsidR="00A33CE5" w:rsidRPr="003D21CD" w:rsidRDefault="0094598F" w:rsidP="003D21CD">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1B43CF5B" w14:textId="79F011CD" w:rsidR="00FC0C1B" w:rsidRDefault="00DA111E" w:rsidP="00601AF8">
      <w:pPr>
        <w:jc w:val="both"/>
        <w:rPr>
          <w:rFonts w:ascii="Hind Light" w:hAnsi="Hind Light" w:cs="Hind Light"/>
          <w:b/>
          <w:sz w:val="20"/>
          <w:szCs w:val="20"/>
          <w:lang w:eastAsia="en-GB"/>
        </w:rPr>
      </w:pPr>
      <w:r>
        <w:rPr>
          <w:rFonts w:ascii="Hind Light" w:hAnsi="Hind Light" w:cs="Hind Light"/>
          <w:b/>
          <w:sz w:val="20"/>
          <w:szCs w:val="20"/>
          <w:lang w:eastAsia="en-GB"/>
        </w:rPr>
        <w:t xml:space="preserve">Global: </w:t>
      </w:r>
      <w:bookmarkEnd w:id="1"/>
      <w:r w:rsidR="00047B25" w:rsidRPr="00047B25">
        <w:rPr>
          <w:rFonts w:ascii="Hind Light" w:hAnsi="Hind Light" w:cs="Hind Light"/>
          <w:b/>
          <w:sz w:val="20"/>
          <w:szCs w:val="20"/>
          <w:lang w:eastAsia="en-GB"/>
        </w:rPr>
        <w:t>Mozilla to stop Facebook from tracking personal data</w:t>
      </w:r>
    </w:p>
    <w:p w14:paraId="04369377" w14:textId="0428AAAA" w:rsidR="00047B25" w:rsidRPr="00047B25" w:rsidRDefault="00ED2884" w:rsidP="00047B25">
      <w:pPr>
        <w:pStyle w:val="Paragraphedeliste"/>
        <w:numPr>
          <w:ilvl w:val="0"/>
          <w:numId w:val="9"/>
        </w:numPr>
        <w:jc w:val="both"/>
        <w:rPr>
          <w:rFonts w:ascii="Hind Light" w:hAnsi="Hind Light" w:cs="Hind Light"/>
          <w:b/>
          <w:sz w:val="20"/>
          <w:szCs w:val="20"/>
          <w:lang w:eastAsia="en-GB"/>
        </w:rPr>
      </w:pPr>
      <w:r>
        <w:rPr>
          <w:rFonts w:ascii="Hind Light" w:hAnsi="Hind Light" w:cs="Hind Light"/>
          <w:bCs/>
          <w:sz w:val="20"/>
          <w:szCs w:val="20"/>
          <w:lang w:eastAsia="en-GB"/>
        </w:rPr>
        <w:t xml:space="preserve">This week, </w:t>
      </w:r>
      <w:r w:rsidR="00047B25">
        <w:rPr>
          <w:rFonts w:ascii="Hind Light" w:hAnsi="Hind Light" w:cs="Hind Light"/>
          <w:bCs/>
          <w:sz w:val="20"/>
          <w:szCs w:val="20"/>
          <w:lang w:eastAsia="en-GB"/>
        </w:rPr>
        <w:t xml:space="preserve">Mozilla’s Firefox browser introduced a default option that </w:t>
      </w:r>
      <w:r>
        <w:rPr>
          <w:rFonts w:ascii="Hind Light" w:hAnsi="Hind Light" w:cs="Hind Light"/>
          <w:bCs/>
          <w:sz w:val="20"/>
          <w:szCs w:val="20"/>
          <w:lang w:eastAsia="en-GB"/>
        </w:rPr>
        <w:t xml:space="preserve">restricts large social media companies, </w:t>
      </w:r>
      <w:r w:rsidR="00047B25">
        <w:rPr>
          <w:rFonts w:ascii="Hind Light" w:hAnsi="Hind Light" w:cs="Hind Light"/>
          <w:bCs/>
          <w:sz w:val="20"/>
          <w:szCs w:val="20"/>
          <w:lang w:eastAsia="en-GB"/>
        </w:rPr>
        <w:t>such as Facebook</w:t>
      </w:r>
      <w:r>
        <w:rPr>
          <w:rFonts w:ascii="Hind Light" w:hAnsi="Hind Light" w:cs="Hind Light"/>
          <w:bCs/>
          <w:sz w:val="20"/>
          <w:szCs w:val="20"/>
          <w:lang w:eastAsia="en-GB"/>
        </w:rPr>
        <w:t xml:space="preserve">, </w:t>
      </w:r>
      <w:r w:rsidR="00047B25">
        <w:rPr>
          <w:rFonts w:ascii="Hind Light" w:hAnsi="Hind Light" w:cs="Hind Light"/>
          <w:bCs/>
          <w:sz w:val="20"/>
          <w:szCs w:val="20"/>
          <w:lang w:eastAsia="en-GB"/>
        </w:rPr>
        <w:t>from tracking people’s web activity.</w:t>
      </w:r>
    </w:p>
    <w:p w14:paraId="4E509320" w14:textId="0BF8FBFA" w:rsidR="00047B25" w:rsidRPr="00047B25" w:rsidRDefault="00047B25" w:rsidP="00047B25">
      <w:pPr>
        <w:pStyle w:val="Paragraphedeliste"/>
        <w:numPr>
          <w:ilvl w:val="0"/>
          <w:numId w:val="9"/>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new feature blocks cookies from other companies that track </w:t>
      </w:r>
      <w:r w:rsidR="003D21CD">
        <w:rPr>
          <w:rFonts w:ascii="Hind Light" w:hAnsi="Hind Light" w:cs="Hind Light"/>
          <w:bCs/>
          <w:sz w:val="20"/>
          <w:szCs w:val="20"/>
          <w:lang w:eastAsia="en-GB"/>
        </w:rPr>
        <w:t>user’s</w:t>
      </w:r>
      <w:r>
        <w:rPr>
          <w:rFonts w:ascii="Hind Light" w:hAnsi="Hind Light" w:cs="Hind Light"/>
          <w:bCs/>
          <w:sz w:val="20"/>
          <w:szCs w:val="20"/>
          <w:lang w:eastAsia="en-GB"/>
        </w:rPr>
        <w:t xml:space="preserve"> online behaviour, this being crucial for activities such as revenue and web advertising. </w:t>
      </w:r>
    </w:p>
    <w:p w14:paraId="29253848" w14:textId="41F375F3" w:rsidR="00047B25" w:rsidRPr="00047B25" w:rsidRDefault="00047B25" w:rsidP="00047B25">
      <w:pPr>
        <w:pStyle w:val="Paragraphedeliste"/>
        <w:numPr>
          <w:ilvl w:val="0"/>
          <w:numId w:val="9"/>
        </w:numPr>
        <w:jc w:val="both"/>
        <w:rPr>
          <w:rFonts w:ascii="Hind Light" w:hAnsi="Hind Light" w:cs="Hind Light"/>
          <w:b/>
          <w:sz w:val="20"/>
          <w:szCs w:val="20"/>
          <w:lang w:eastAsia="en-GB"/>
        </w:rPr>
      </w:pPr>
      <w:r>
        <w:rPr>
          <w:rFonts w:ascii="Hind Light" w:hAnsi="Hind Light" w:cs="Hind Light"/>
          <w:bCs/>
          <w:sz w:val="20"/>
          <w:szCs w:val="20"/>
          <w:lang w:eastAsia="en-GB"/>
        </w:rPr>
        <w:t xml:space="preserve">Dave Camp, Senior Vice-President </w:t>
      </w:r>
      <w:r w:rsidR="006F3686">
        <w:rPr>
          <w:rFonts w:ascii="Hind Light" w:hAnsi="Hind Light" w:cs="Hind Light"/>
          <w:bCs/>
          <w:sz w:val="20"/>
          <w:szCs w:val="20"/>
          <w:lang w:eastAsia="en-GB"/>
        </w:rPr>
        <w:t>at</w:t>
      </w:r>
      <w:r>
        <w:rPr>
          <w:rFonts w:ascii="Hind Light" w:hAnsi="Hind Light" w:cs="Hind Light"/>
          <w:bCs/>
          <w:sz w:val="20"/>
          <w:szCs w:val="20"/>
          <w:lang w:eastAsia="en-GB"/>
        </w:rPr>
        <w:t xml:space="preserve"> Firefox, </w:t>
      </w:r>
      <w:hyperlink r:id="rId11" w:history="1">
        <w:r w:rsidRPr="00047B25">
          <w:rPr>
            <w:rStyle w:val="Lienhypertexte"/>
            <w:rFonts w:ascii="Hind Light" w:hAnsi="Hind Light" w:cs="Hind Light"/>
            <w:bCs/>
            <w:sz w:val="20"/>
            <w:szCs w:val="20"/>
            <w:lang w:eastAsia="en-GB"/>
          </w:rPr>
          <w:t>stated</w:t>
        </w:r>
      </w:hyperlink>
      <w:r>
        <w:rPr>
          <w:rFonts w:ascii="Hind Light" w:hAnsi="Hind Light" w:cs="Hind Light"/>
          <w:bCs/>
          <w:sz w:val="20"/>
          <w:szCs w:val="20"/>
          <w:lang w:eastAsia="en-GB"/>
        </w:rPr>
        <w:t xml:space="preserve">: “This past year, we’ve seen tech companies talk a big game about privacy as they’re realising that after several global scandals, people feel increasingly vulnerable […] It is unfortunate that this shift had to happen in order for companies to take notice”. </w:t>
      </w:r>
    </w:p>
    <w:p w14:paraId="28A0F508" w14:textId="0B3A5887" w:rsidR="00047B25" w:rsidRPr="00732928" w:rsidRDefault="00047B25" w:rsidP="00047B25">
      <w:pPr>
        <w:pStyle w:val="Paragraphedeliste"/>
        <w:numPr>
          <w:ilvl w:val="0"/>
          <w:numId w:val="9"/>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Camp, the new tool will </w:t>
      </w:r>
      <w:r w:rsidR="006F3686">
        <w:rPr>
          <w:rFonts w:ascii="Hind Light" w:hAnsi="Hind Light" w:cs="Hind Light"/>
          <w:bCs/>
          <w:sz w:val="20"/>
          <w:szCs w:val="20"/>
          <w:lang w:eastAsia="en-GB"/>
        </w:rPr>
        <w:t xml:space="preserve">help </w:t>
      </w:r>
      <w:r>
        <w:rPr>
          <w:rFonts w:ascii="Hind Light" w:hAnsi="Hind Light" w:cs="Hind Light"/>
          <w:bCs/>
          <w:sz w:val="20"/>
          <w:szCs w:val="20"/>
          <w:lang w:eastAsia="en-GB"/>
        </w:rPr>
        <w:t>increase user</w:t>
      </w:r>
      <w:r w:rsidR="006F3686">
        <w:rPr>
          <w:rFonts w:ascii="Hind Light" w:hAnsi="Hind Light" w:cs="Hind Light"/>
          <w:bCs/>
          <w:sz w:val="20"/>
          <w:szCs w:val="20"/>
          <w:lang w:eastAsia="en-GB"/>
        </w:rPr>
        <w:t xml:space="preserve"> </w:t>
      </w:r>
      <w:r>
        <w:rPr>
          <w:rFonts w:ascii="Hind Light" w:hAnsi="Hind Light" w:cs="Hind Light"/>
          <w:bCs/>
          <w:sz w:val="20"/>
          <w:szCs w:val="20"/>
          <w:lang w:eastAsia="en-GB"/>
        </w:rPr>
        <w:t>safety</w:t>
      </w:r>
      <w:r w:rsidR="006F3686">
        <w:rPr>
          <w:rFonts w:ascii="Hind Light" w:hAnsi="Hind Light" w:cs="Hind Light"/>
          <w:bCs/>
          <w:sz w:val="20"/>
          <w:szCs w:val="20"/>
          <w:lang w:eastAsia="en-GB"/>
        </w:rPr>
        <w:t xml:space="preserve"> and trust as they browse the Internet</w:t>
      </w:r>
      <w:r>
        <w:rPr>
          <w:rFonts w:ascii="Hind Light" w:hAnsi="Hind Light" w:cs="Hind Light"/>
          <w:bCs/>
          <w:sz w:val="20"/>
          <w:szCs w:val="20"/>
          <w:lang w:eastAsia="en-GB"/>
        </w:rPr>
        <w:t xml:space="preserve">. </w:t>
      </w:r>
    </w:p>
    <w:p w14:paraId="3753AD39" w14:textId="59A977B6" w:rsidR="00732928" w:rsidRDefault="00732928" w:rsidP="00732928">
      <w:pPr>
        <w:jc w:val="both"/>
        <w:rPr>
          <w:rFonts w:ascii="Hind Light" w:hAnsi="Hind Light" w:cs="Hind Light"/>
          <w:b/>
          <w:sz w:val="20"/>
          <w:szCs w:val="20"/>
          <w:lang w:eastAsia="en-GB"/>
        </w:rPr>
      </w:pPr>
    </w:p>
    <w:p w14:paraId="55625AE1" w14:textId="54029A44" w:rsidR="00732928" w:rsidRDefault="00732928" w:rsidP="00732928">
      <w:pPr>
        <w:jc w:val="both"/>
        <w:rPr>
          <w:rFonts w:ascii="Hind Light" w:hAnsi="Hind Light" w:cs="Hind Light"/>
          <w:b/>
          <w:sz w:val="20"/>
          <w:szCs w:val="20"/>
          <w:lang w:eastAsia="en-GB"/>
        </w:rPr>
      </w:pPr>
      <w:r>
        <w:rPr>
          <w:rFonts w:ascii="Hind Light" w:hAnsi="Hind Light" w:cs="Hind Light"/>
          <w:b/>
          <w:sz w:val="20"/>
          <w:szCs w:val="20"/>
          <w:lang w:eastAsia="en-GB"/>
        </w:rPr>
        <w:t>China: Chinese regulator to potentially copy EU rules on users’ online protection</w:t>
      </w:r>
    </w:p>
    <w:p w14:paraId="392E0E69" w14:textId="58364FFF" w:rsidR="00732928" w:rsidRPr="00732928" w:rsidRDefault="006F3686" w:rsidP="00732928">
      <w:pPr>
        <w:pStyle w:val="Paragraphedeliste"/>
        <w:numPr>
          <w:ilvl w:val="0"/>
          <w:numId w:val="16"/>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r w:rsidR="00732928">
        <w:rPr>
          <w:rFonts w:ascii="Hind Light" w:hAnsi="Hind Light" w:cs="Hind Light"/>
          <w:bCs/>
          <w:sz w:val="20"/>
          <w:szCs w:val="20"/>
          <w:lang w:eastAsia="en-GB"/>
        </w:rPr>
        <w:t xml:space="preserve">Chinese government proposed last week a new package of measures to reinforce data protection for individuals in the whole country. </w:t>
      </w:r>
    </w:p>
    <w:p w14:paraId="729915B0" w14:textId="77777777" w:rsidR="006F3686" w:rsidRPr="006F3686" w:rsidRDefault="00732928" w:rsidP="006F3686">
      <w:pPr>
        <w:pStyle w:val="Paragraphedeliste"/>
        <w:numPr>
          <w:ilvl w:val="0"/>
          <w:numId w:val="16"/>
        </w:numPr>
        <w:spacing w:before="240"/>
        <w:ind w:left="714" w:hanging="357"/>
        <w:jc w:val="both"/>
        <w:rPr>
          <w:rFonts w:ascii="Hind Light" w:hAnsi="Hind Light" w:cs="Hind Light"/>
          <w:b/>
          <w:sz w:val="20"/>
          <w:szCs w:val="20"/>
          <w:lang w:eastAsia="en-GB"/>
        </w:rPr>
      </w:pPr>
      <w:r>
        <w:rPr>
          <w:rFonts w:ascii="Hind Light" w:hAnsi="Hind Light" w:cs="Hind Light"/>
          <w:bCs/>
          <w:sz w:val="20"/>
          <w:szCs w:val="20"/>
          <w:lang w:eastAsia="en-GB"/>
        </w:rPr>
        <w:t xml:space="preserve">Among one of the </w:t>
      </w:r>
      <w:hyperlink r:id="rId12" w:history="1">
        <w:r w:rsidRPr="00732928">
          <w:rPr>
            <w:rStyle w:val="Lienhypertexte"/>
            <w:rFonts w:ascii="Hind Light" w:hAnsi="Hind Light" w:cs="Hind Light"/>
            <w:bCs/>
            <w:sz w:val="20"/>
            <w:szCs w:val="20"/>
            <w:lang w:eastAsia="en-GB"/>
          </w:rPr>
          <w:t>provisions</w:t>
        </w:r>
      </w:hyperlink>
      <w:r>
        <w:rPr>
          <w:rFonts w:ascii="Hind Light" w:hAnsi="Hind Light" w:cs="Hind Light"/>
          <w:bCs/>
          <w:sz w:val="20"/>
          <w:szCs w:val="20"/>
          <w:lang w:eastAsia="en-GB"/>
        </w:rPr>
        <w:t xml:space="preserve"> (see </w:t>
      </w:r>
      <w:hyperlink r:id="rId13" w:history="1">
        <w:r w:rsidRPr="00732928">
          <w:rPr>
            <w:rStyle w:val="Lienhypertexte"/>
            <w:rFonts w:ascii="Hind Light" w:hAnsi="Hind Light" w:cs="Hind Light"/>
            <w:bCs/>
            <w:sz w:val="20"/>
            <w:szCs w:val="20"/>
            <w:lang w:eastAsia="en-GB"/>
          </w:rPr>
          <w:t>unofficial translation</w:t>
        </w:r>
      </w:hyperlink>
      <w:r>
        <w:rPr>
          <w:rFonts w:ascii="Hind Light" w:hAnsi="Hind Light" w:cs="Hind Light"/>
          <w:bCs/>
          <w:sz w:val="20"/>
          <w:szCs w:val="20"/>
          <w:lang w:eastAsia="en-GB"/>
        </w:rPr>
        <w:t xml:space="preserve">), companies that are “using user data and algorithms to deliver news information or commercial advertisements shall conspicuously label them with the words ‘targeted’ and provide users with functionality to stop receiving information from targeted delivery”. </w:t>
      </w:r>
    </w:p>
    <w:p w14:paraId="53707CE3" w14:textId="3842B7FC" w:rsidR="00081714" w:rsidRPr="006F3686" w:rsidRDefault="00732928" w:rsidP="006F3686">
      <w:pPr>
        <w:pStyle w:val="Paragraphedeliste"/>
        <w:numPr>
          <w:ilvl w:val="0"/>
          <w:numId w:val="16"/>
        </w:numPr>
        <w:spacing w:before="240"/>
        <w:ind w:left="714" w:hanging="357"/>
        <w:jc w:val="both"/>
        <w:rPr>
          <w:rFonts w:ascii="Hind Light" w:hAnsi="Hind Light" w:cs="Hind Light"/>
          <w:b/>
          <w:sz w:val="20"/>
          <w:szCs w:val="20"/>
          <w:lang w:eastAsia="en-GB"/>
        </w:rPr>
      </w:pPr>
      <w:r w:rsidRPr="006F3686">
        <w:rPr>
          <w:rFonts w:ascii="Hind Light" w:hAnsi="Hind Light" w:cs="Hind Light"/>
          <w:bCs/>
          <w:sz w:val="20"/>
          <w:szCs w:val="20"/>
          <w:lang w:eastAsia="en-GB"/>
        </w:rPr>
        <w:t xml:space="preserve">The measure resembles the recent EU improvements on online data protection and will potentially </w:t>
      </w:r>
      <w:r w:rsidR="00303058" w:rsidRPr="006F3686">
        <w:rPr>
          <w:rFonts w:ascii="Hind Light" w:hAnsi="Hind Light" w:cs="Hind Light"/>
          <w:bCs/>
          <w:sz w:val="20"/>
          <w:szCs w:val="20"/>
          <w:lang w:eastAsia="en-GB"/>
        </w:rPr>
        <w:t>lead to a harmonisation of rules in both the EU and China, thus creating a more protected online environment in the Asian country.</w:t>
      </w:r>
      <w:r w:rsidRPr="006F3686">
        <w:rPr>
          <w:rFonts w:ascii="Hind Light" w:hAnsi="Hind Light" w:cs="Hind Light"/>
          <w:bCs/>
          <w:sz w:val="20"/>
          <w:szCs w:val="20"/>
          <w:lang w:eastAsia="en-GB"/>
        </w:rPr>
        <w:t xml:space="preserve"> </w:t>
      </w:r>
      <w:r w:rsidR="00081714" w:rsidRPr="006F3686">
        <w:rPr>
          <w:bCs/>
          <w:lang w:eastAsia="en-GB"/>
        </w:rPr>
        <w:t xml:space="preserve"> </w:t>
      </w:r>
    </w:p>
    <w:p w14:paraId="1FD23CCC" w14:textId="404EDDF4" w:rsidR="00081714" w:rsidRDefault="00081714" w:rsidP="00081714">
      <w:pPr>
        <w:jc w:val="both"/>
        <w:rPr>
          <w:rFonts w:ascii="Hind Light" w:hAnsi="Hind Light" w:cs="Hind Light"/>
          <w:b/>
          <w:sz w:val="20"/>
          <w:szCs w:val="20"/>
          <w:lang w:eastAsia="en-GB"/>
        </w:rPr>
      </w:pPr>
    </w:p>
    <w:p w14:paraId="2CA5C311" w14:textId="321239EB" w:rsidR="00081714" w:rsidRDefault="00081714" w:rsidP="00081714">
      <w:pPr>
        <w:jc w:val="both"/>
        <w:rPr>
          <w:rFonts w:ascii="Hind Light" w:hAnsi="Hind Light" w:cs="Hind Light"/>
          <w:b/>
          <w:sz w:val="20"/>
          <w:szCs w:val="20"/>
          <w:lang w:eastAsia="en-GB"/>
        </w:rPr>
      </w:pPr>
      <w:r>
        <w:rPr>
          <w:rFonts w:ascii="Hind Light" w:hAnsi="Hind Light" w:cs="Hind Light"/>
          <w:b/>
          <w:sz w:val="20"/>
          <w:szCs w:val="20"/>
          <w:lang w:eastAsia="en-GB"/>
        </w:rPr>
        <w:t>EU: European Data Protection Authority identifies data flaws on EU institutions’ websites</w:t>
      </w:r>
    </w:p>
    <w:p w14:paraId="0044C730" w14:textId="38D1452A" w:rsidR="00081714" w:rsidRPr="00081714" w:rsidRDefault="00081714" w:rsidP="00081714">
      <w:pPr>
        <w:pStyle w:val="Paragraphedeliste"/>
        <w:numPr>
          <w:ilvl w:val="0"/>
          <w:numId w:val="11"/>
        </w:numPr>
        <w:jc w:val="both"/>
        <w:rPr>
          <w:rFonts w:ascii="Hind Light" w:hAnsi="Hind Light" w:cs="Hind Light"/>
          <w:b/>
          <w:sz w:val="20"/>
          <w:szCs w:val="20"/>
          <w:lang w:eastAsia="en-GB"/>
        </w:rPr>
      </w:pPr>
      <w:r>
        <w:rPr>
          <w:rFonts w:ascii="Hind Light" w:hAnsi="Hind Light" w:cs="Hind Light"/>
          <w:bCs/>
          <w:sz w:val="20"/>
          <w:szCs w:val="20"/>
          <w:lang w:eastAsia="en-GB"/>
        </w:rPr>
        <w:lastRenderedPageBreak/>
        <w:t xml:space="preserve">Following an investigation conducted by the European Data Protection Supervisor (EDPS), the authority has </w:t>
      </w:r>
      <w:hyperlink r:id="rId14" w:history="1">
        <w:r w:rsidRPr="00081714">
          <w:rPr>
            <w:rStyle w:val="Lienhypertexte"/>
            <w:rFonts w:ascii="Hind Light" w:hAnsi="Hind Light" w:cs="Hind Light"/>
            <w:bCs/>
            <w:sz w:val="20"/>
            <w:szCs w:val="20"/>
            <w:lang w:eastAsia="en-GB"/>
          </w:rPr>
          <w:t>flagged</w:t>
        </w:r>
      </w:hyperlink>
      <w:r>
        <w:rPr>
          <w:rFonts w:ascii="Hind Light" w:hAnsi="Hind Light" w:cs="Hind Light"/>
          <w:bCs/>
          <w:sz w:val="20"/>
          <w:szCs w:val="20"/>
          <w:lang w:eastAsia="en-GB"/>
        </w:rPr>
        <w:t xml:space="preserve"> data protection and security issues in seven out of ten of the EU websites analysed. </w:t>
      </w:r>
    </w:p>
    <w:p w14:paraId="6B853144" w14:textId="7ECB4205" w:rsidR="00081714" w:rsidRPr="00081714" w:rsidRDefault="00081714" w:rsidP="00081714">
      <w:pPr>
        <w:pStyle w:val="Paragraphedeliste"/>
        <w:numPr>
          <w:ilvl w:val="0"/>
          <w:numId w:val="11"/>
        </w:numPr>
        <w:jc w:val="both"/>
        <w:rPr>
          <w:rFonts w:ascii="Hind Light" w:hAnsi="Hind Light" w:cs="Hind Light"/>
          <w:b/>
          <w:sz w:val="20"/>
          <w:szCs w:val="20"/>
          <w:lang w:eastAsia="en-GB"/>
        </w:rPr>
      </w:pPr>
      <w:r>
        <w:rPr>
          <w:rFonts w:ascii="Hind Light" w:hAnsi="Hind Light" w:cs="Hind Light"/>
          <w:bCs/>
          <w:sz w:val="20"/>
          <w:szCs w:val="20"/>
          <w:lang w:eastAsia="en-GB"/>
        </w:rPr>
        <w:t xml:space="preserve">EDPS Giovanni Buttarelli stated: “The responses to this remote inspection have been reassuring. The </w:t>
      </w:r>
      <w:r w:rsidR="00381D52">
        <w:rPr>
          <w:rFonts w:ascii="Hind Light" w:hAnsi="Hind Light" w:cs="Hind Light"/>
          <w:bCs/>
          <w:sz w:val="20"/>
          <w:szCs w:val="20"/>
          <w:lang w:eastAsia="en-GB"/>
        </w:rPr>
        <w:t xml:space="preserve">EU </w:t>
      </w:r>
      <w:r>
        <w:rPr>
          <w:rFonts w:ascii="Hind Light" w:hAnsi="Hind Light" w:cs="Hind Light"/>
          <w:bCs/>
          <w:sz w:val="20"/>
          <w:szCs w:val="20"/>
          <w:lang w:eastAsia="en-GB"/>
        </w:rPr>
        <w:t>institutions responsible for the most important websites have informed us of technical measures that they have implemented to significantly reduce the risks to security and privacy that were detected in our inspection”.</w:t>
      </w:r>
    </w:p>
    <w:p w14:paraId="75FBD3BC" w14:textId="42C535B5" w:rsidR="00081714" w:rsidRPr="00614E51" w:rsidRDefault="00081714" w:rsidP="00081714">
      <w:pPr>
        <w:pStyle w:val="Paragraphedeliste"/>
        <w:numPr>
          <w:ilvl w:val="0"/>
          <w:numId w:val="11"/>
        </w:numPr>
        <w:jc w:val="both"/>
        <w:rPr>
          <w:rFonts w:ascii="Hind Light" w:hAnsi="Hind Light" w:cs="Hind Light"/>
          <w:b/>
          <w:sz w:val="20"/>
          <w:szCs w:val="20"/>
          <w:lang w:eastAsia="en-GB"/>
        </w:rPr>
      </w:pPr>
      <w:r>
        <w:rPr>
          <w:rFonts w:ascii="Hind Light" w:hAnsi="Hind Light" w:cs="Hind Light"/>
          <w:bCs/>
          <w:sz w:val="20"/>
          <w:szCs w:val="20"/>
          <w:lang w:eastAsia="en-GB"/>
        </w:rPr>
        <w:t xml:space="preserve">Consequently, all inspected EU websites now provide HTTPS connections and have reduced the number of third-party trackers they use. Next steps include the investigation of the most visited EU websites. </w:t>
      </w:r>
    </w:p>
    <w:p w14:paraId="1D041160" w14:textId="77777777" w:rsidR="00614E51" w:rsidRDefault="00614E51" w:rsidP="00614E51">
      <w:pPr>
        <w:jc w:val="both"/>
        <w:rPr>
          <w:rFonts w:ascii="Hind Light" w:hAnsi="Hind Light" w:cs="Hind Light"/>
          <w:b/>
          <w:sz w:val="20"/>
          <w:szCs w:val="20"/>
          <w:lang w:eastAsia="en-GB"/>
        </w:rPr>
      </w:pPr>
    </w:p>
    <w:p w14:paraId="53D16B13" w14:textId="6BAA06A8" w:rsidR="00614E51" w:rsidRDefault="00614E51" w:rsidP="00614E51">
      <w:pPr>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381D52">
        <w:rPr>
          <w:rFonts w:ascii="Hind Light" w:hAnsi="Hind Light" w:cs="Hind Light"/>
          <w:b/>
          <w:sz w:val="20"/>
          <w:szCs w:val="20"/>
          <w:lang w:eastAsia="en-GB"/>
        </w:rPr>
        <w:t xml:space="preserve">Platforms must do more against fake news, say </w:t>
      </w:r>
      <w:r w:rsidR="003D21CD">
        <w:rPr>
          <w:rFonts w:ascii="Hind Light" w:hAnsi="Hind Light" w:cs="Hind Light"/>
          <w:b/>
          <w:sz w:val="20"/>
          <w:szCs w:val="20"/>
          <w:lang w:eastAsia="en-GB"/>
        </w:rPr>
        <w:t>policymakers</w:t>
      </w:r>
      <w:r w:rsidR="00381D52">
        <w:rPr>
          <w:rFonts w:ascii="Hind Light" w:hAnsi="Hind Light" w:cs="Hind Light"/>
          <w:b/>
          <w:sz w:val="20"/>
          <w:szCs w:val="20"/>
          <w:lang w:eastAsia="en-GB"/>
        </w:rPr>
        <w:t xml:space="preserve"> and experts</w:t>
      </w:r>
    </w:p>
    <w:p w14:paraId="22AA4888" w14:textId="61FB6B87" w:rsidR="00614E51" w:rsidRPr="00614E51" w:rsidRDefault="00614E51" w:rsidP="00614E51">
      <w:pPr>
        <w:pStyle w:val="Paragraphedeliste"/>
        <w:numPr>
          <w:ilvl w:val="0"/>
          <w:numId w:val="13"/>
        </w:numPr>
        <w:jc w:val="both"/>
        <w:rPr>
          <w:rFonts w:ascii="Hind Light" w:hAnsi="Hind Light" w:cs="Hind Light"/>
          <w:b/>
          <w:sz w:val="20"/>
          <w:szCs w:val="20"/>
          <w:lang w:eastAsia="en-GB"/>
        </w:rPr>
      </w:pPr>
      <w:r>
        <w:rPr>
          <w:rFonts w:ascii="Hind Light" w:hAnsi="Hind Light" w:cs="Hind Light"/>
          <w:bCs/>
          <w:sz w:val="20"/>
          <w:szCs w:val="20"/>
          <w:lang w:eastAsia="en-GB"/>
        </w:rPr>
        <w:t xml:space="preserve">Civil society groups, members of the Transatlantic Commission on Election Integrity and Members of the European Parliament have addressed a </w:t>
      </w:r>
      <w:hyperlink r:id="rId15" w:history="1">
        <w:r w:rsidRPr="00614E51">
          <w:rPr>
            <w:rStyle w:val="Lienhypertexte"/>
            <w:rFonts w:ascii="Hind Light" w:hAnsi="Hind Light" w:cs="Hind Light"/>
            <w:bCs/>
            <w:sz w:val="20"/>
            <w:szCs w:val="20"/>
            <w:lang w:eastAsia="en-GB"/>
          </w:rPr>
          <w:t>letter</w:t>
        </w:r>
      </w:hyperlink>
      <w:r>
        <w:rPr>
          <w:rFonts w:ascii="Hind Light" w:hAnsi="Hind Light" w:cs="Hind Light"/>
          <w:bCs/>
          <w:sz w:val="20"/>
          <w:szCs w:val="20"/>
          <w:lang w:eastAsia="en-GB"/>
        </w:rPr>
        <w:t xml:space="preserve"> to the EU institutions asking them to assess the impact that platforms such as Facebook, YouTube, Google or Instagram had had in the EU election campaign. </w:t>
      </w:r>
    </w:p>
    <w:p w14:paraId="7CD53EB3" w14:textId="77777777" w:rsidR="00614E51" w:rsidRPr="00614E51" w:rsidRDefault="00614E51" w:rsidP="00614E51">
      <w:pPr>
        <w:pStyle w:val="Paragraphedeliste"/>
        <w:numPr>
          <w:ilvl w:val="0"/>
          <w:numId w:val="13"/>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platforms mentioned in the letter had recently signed the </w:t>
      </w:r>
      <w:hyperlink r:id="rId16" w:history="1">
        <w:r w:rsidRPr="00614E51">
          <w:rPr>
            <w:rStyle w:val="Lienhypertexte"/>
            <w:rFonts w:ascii="Hind Light" w:hAnsi="Hind Light" w:cs="Hind Light"/>
            <w:bCs/>
            <w:sz w:val="20"/>
            <w:szCs w:val="20"/>
            <w:lang w:eastAsia="en-GB"/>
          </w:rPr>
          <w:t>Code of Practice</w:t>
        </w:r>
      </w:hyperlink>
      <w:r>
        <w:rPr>
          <w:rFonts w:ascii="Hind Light" w:hAnsi="Hind Light" w:cs="Hind Light"/>
          <w:bCs/>
          <w:sz w:val="20"/>
          <w:szCs w:val="20"/>
          <w:lang w:eastAsia="en-GB"/>
        </w:rPr>
        <w:t xml:space="preserve"> against the spread of online disinformation and fake news.</w:t>
      </w:r>
    </w:p>
    <w:p w14:paraId="6C0655CB" w14:textId="77777777" w:rsidR="003D21CD" w:rsidRPr="003D21CD" w:rsidRDefault="00614E51" w:rsidP="003D21CD">
      <w:pPr>
        <w:pStyle w:val="Paragraphedeliste"/>
        <w:numPr>
          <w:ilvl w:val="0"/>
          <w:numId w:val="13"/>
        </w:numPr>
        <w:jc w:val="both"/>
        <w:rPr>
          <w:rFonts w:ascii="Hind Light" w:hAnsi="Hind Light" w:cs="Hind Light"/>
          <w:b/>
          <w:sz w:val="20"/>
          <w:szCs w:val="20"/>
          <w:lang w:eastAsia="en-GB"/>
        </w:rPr>
      </w:pPr>
      <w:r>
        <w:rPr>
          <w:rFonts w:ascii="Hind Light" w:hAnsi="Hind Light" w:cs="Hind Light"/>
          <w:bCs/>
          <w:sz w:val="20"/>
          <w:szCs w:val="20"/>
          <w:lang w:eastAsia="en-GB"/>
        </w:rPr>
        <w:t xml:space="preserve">Earlier this year, the Commission published a </w:t>
      </w:r>
      <w:hyperlink r:id="rId17" w:history="1">
        <w:r w:rsidRPr="00614E51">
          <w:rPr>
            <w:rStyle w:val="Lienhypertexte"/>
            <w:rFonts w:ascii="Hind Light" w:hAnsi="Hind Light" w:cs="Hind Light"/>
            <w:bCs/>
            <w:sz w:val="20"/>
            <w:szCs w:val="20"/>
            <w:lang w:eastAsia="en-GB"/>
          </w:rPr>
          <w:t>progress report</w:t>
        </w:r>
      </w:hyperlink>
      <w:r>
        <w:rPr>
          <w:rFonts w:ascii="Hind Light" w:hAnsi="Hind Light" w:cs="Hind Light"/>
          <w:bCs/>
          <w:sz w:val="20"/>
          <w:szCs w:val="20"/>
          <w:lang w:eastAsia="en-GB"/>
        </w:rPr>
        <w:t xml:space="preserve"> recognising the progress made by these platforms and asking them to “step up their efforts to broaden cooperation with fact checkers in all Member States”</w:t>
      </w:r>
      <w:r w:rsidR="00D838E9">
        <w:rPr>
          <w:rFonts w:ascii="Hind Light" w:hAnsi="Hind Light" w:cs="Hind Light"/>
          <w:bCs/>
          <w:sz w:val="20"/>
          <w:szCs w:val="20"/>
          <w:lang w:eastAsia="en-GB"/>
        </w:rPr>
        <w:t>.</w:t>
      </w:r>
    </w:p>
    <w:p w14:paraId="441E3319" w14:textId="7300428F" w:rsidR="00BE00FD" w:rsidRPr="003D21CD" w:rsidRDefault="00D838E9" w:rsidP="003D21CD">
      <w:pPr>
        <w:pStyle w:val="Paragraphedeliste"/>
        <w:numPr>
          <w:ilvl w:val="0"/>
          <w:numId w:val="13"/>
        </w:numPr>
        <w:jc w:val="both"/>
        <w:rPr>
          <w:rFonts w:ascii="Hind Light" w:hAnsi="Hind Light" w:cs="Hind Light"/>
          <w:b/>
          <w:sz w:val="20"/>
          <w:szCs w:val="20"/>
          <w:lang w:eastAsia="en-GB"/>
        </w:rPr>
      </w:pPr>
      <w:r w:rsidRPr="003D21CD">
        <w:rPr>
          <w:rFonts w:ascii="Hind Light" w:hAnsi="Hind Light" w:cs="Hind Light"/>
          <w:bCs/>
          <w:sz w:val="20"/>
          <w:szCs w:val="20"/>
          <w:lang w:eastAsia="en-GB"/>
        </w:rPr>
        <w:t xml:space="preserve">The letter suggests the creation of an “ad hoc committee of parliamentarians from national parliaments and the European Parliament” to address the issue of fake news and online disinformation. </w:t>
      </w:r>
    </w:p>
    <w:p w14:paraId="5F58CB49" w14:textId="77777777" w:rsidR="00732928" w:rsidRPr="00732928" w:rsidRDefault="00732928" w:rsidP="00732928">
      <w:pPr>
        <w:jc w:val="both"/>
        <w:rPr>
          <w:rFonts w:ascii="Hind Light" w:hAnsi="Hind Light" w:cs="Hind Light"/>
          <w:bCs/>
          <w:sz w:val="20"/>
          <w:szCs w:val="20"/>
          <w:lang w:eastAsia="en-GB"/>
        </w:rPr>
      </w:pPr>
    </w:p>
    <w:sectPr w:rsidR="00732928" w:rsidRPr="00732928"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2678F" w14:textId="77777777" w:rsidR="00CD55F9" w:rsidRDefault="00CD55F9" w:rsidP="0094598F">
      <w:r>
        <w:separator/>
      </w:r>
    </w:p>
  </w:endnote>
  <w:endnote w:type="continuationSeparator" w:id="0">
    <w:p w14:paraId="4578EA62" w14:textId="77777777" w:rsidR="00CD55F9" w:rsidRDefault="00CD55F9"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ourier New"/>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2E488" w14:textId="77777777" w:rsidR="00CD55F9" w:rsidRDefault="00CD55F9" w:rsidP="0094598F">
      <w:r>
        <w:separator/>
      </w:r>
    </w:p>
  </w:footnote>
  <w:footnote w:type="continuationSeparator" w:id="0">
    <w:p w14:paraId="2594066E" w14:textId="77777777" w:rsidR="00CD55F9" w:rsidRDefault="00CD55F9"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5319B5F5"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047B25">
      <w:rPr>
        <w:spacing w:val="4"/>
        <w:szCs w:val="12"/>
      </w:rPr>
      <w:t>1 June 2019</w:t>
    </w:r>
    <w:r w:rsidR="00786F1C">
      <w:rPr>
        <w:spacing w:val="4"/>
        <w:szCs w:val="12"/>
      </w:rPr>
      <w:t xml:space="preserve"> – </w:t>
    </w:r>
    <w:r w:rsidR="00047B25">
      <w:rPr>
        <w:spacing w:val="4"/>
        <w:szCs w:val="12"/>
      </w:rPr>
      <w:t>7 June</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126A00" w14:paraId="04AE19CD" w14:textId="77777777" w:rsidTr="00CC5B49">
      <w:trPr>
        <w:cantSplit/>
        <w:trHeight w:hRule="exact" w:val="1134"/>
      </w:trPr>
      <w:tc>
        <w:tcPr>
          <w:tcW w:w="10402" w:type="dxa"/>
          <w:shd w:val="clear" w:color="auto" w:fill="auto"/>
        </w:tcPr>
        <w:p w14:paraId="3498600C" w14:textId="0E5EC342" w:rsidR="0018126E" w:rsidRPr="00D36134" w:rsidRDefault="00122ACB" w:rsidP="006B1AFE">
          <w:pPr>
            <w:pStyle w:val="Coverdate"/>
            <w:rPr>
              <w:lang w:val="fr-FR"/>
            </w:rPr>
          </w:pPr>
          <w:bookmarkStart w:id="3" w:name="_Hlk7111155"/>
          <w:r w:rsidRPr="00D36134">
            <w:rPr>
              <w:lang w:val="fr-FR"/>
            </w:rPr>
            <w:t>1</w:t>
          </w:r>
          <w:r w:rsidR="00047B25" w:rsidRPr="00D36134">
            <w:rPr>
              <w:lang w:val="fr-FR"/>
            </w:rPr>
            <w:t xml:space="preserve"> June</w:t>
          </w:r>
          <w:r w:rsidR="00D60DEC" w:rsidRPr="00D36134">
            <w:rPr>
              <w:lang w:val="fr-FR"/>
            </w:rPr>
            <w:t xml:space="preserve"> 2019 </w:t>
          </w:r>
          <w:r w:rsidR="0018126E" w:rsidRPr="00D36134">
            <w:rPr>
              <w:lang w:val="fr-FR"/>
            </w:rPr>
            <w:t>–</w:t>
          </w:r>
          <w:r w:rsidR="00BF6706" w:rsidRPr="00D36134">
            <w:rPr>
              <w:lang w:val="fr-FR"/>
            </w:rPr>
            <w:t xml:space="preserve"> </w:t>
          </w:r>
          <w:r w:rsidRPr="00D36134">
            <w:rPr>
              <w:lang w:val="fr-FR"/>
            </w:rPr>
            <w:t>7</w:t>
          </w:r>
          <w:r w:rsidR="00047B25" w:rsidRPr="00D36134">
            <w:rPr>
              <w:lang w:val="fr-FR"/>
            </w:rPr>
            <w:t xml:space="preserve"> June</w:t>
          </w:r>
          <w:r w:rsidR="00AF4F48" w:rsidRPr="00D36134">
            <w:rPr>
              <w:lang w:val="fr-FR"/>
            </w:rPr>
            <w:t xml:space="preserve"> </w:t>
          </w:r>
          <w:r w:rsidR="007E0789" w:rsidRPr="00D36134">
            <w:rPr>
              <w:lang w:val="fr-FR"/>
            </w:rPr>
            <w:t>2019</w:t>
          </w:r>
        </w:p>
        <w:bookmarkEnd w:id="3"/>
        <w:p w14:paraId="54A979AF" w14:textId="77777777" w:rsidR="0018126E" w:rsidRPr="00D36134" w:rsidRDefault="00731115" w:rsidP="006B1AFE">
          <w:pPr>
            <w:pStyle w:val="Coverdate"/>
            <w:rPr>
              <w:lang w:val="fr-FR"/>
            </w:rPr>
          </w:pPr>
          <w:r>
            <w:fldChar w:fldCharType="begin"/>
          </w:r>
          <w:r w:rsidRPr="00D36134">
            <w:rPr>
              <w:lang w:val="fr-FR"/>
            </w:rPr>
            <w:instrText xml:space="preserve"> HYPERLINK "https://www.internetsociety.org/regions/europe/" </w:instrText>
          </w:r>
          <w:r>
            <w:fldChar w:fldCharType="separate"/>
          </w:r>
          <w:r w:rsidR="0018126E" w:rsidRPr="00D36134">
            <w:rPr>
              <w:rStyle w:val="Lienhypertexte"/>
              <w:lang w:val="fr-FR"/>
            </w:rPr>
            <w:t>https://www.Internetsociety.org/regions/europe/</w:t>
          </w:r>
          <w:r>
            <w:rPr>
              <w:rStyle w:val="Lienhypertexte"/>
            </w:rPr>
            <w:fldChar w:fldCharType="end"/>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38F2F42"/>
    <w:multiLevelType w:val="hybridMultilevel"/>
    <w:tmpl w:val="453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96F95"/>
    <w:multiLevelType w:val="hybridMultilevel"/>
    <w:tmpl w:val="12AA7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82BB7"/>
    <w:multiLevelType w:val="hybridMultilevel"/>
    <w:tmpl w:val="923A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043909"/>
    <w:multiLevelType w:val="hybridMultilevel"/>
    <w:tmpl w:val="9A94B2D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5" w15:restartNumberingAfterBreak="0">
    <w:nsid w:val="240505C3"/>
    <w:multiLevelType w:val="hybridMultilevel"/>
    <w:tmpl w:val="5A4213B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6" w15:restartNumberingAfterBreak="0">
    <w:nsid w:val="25D925CE"/>
    <w:multiLevelType w:val="hybridMultilevel"/>
    <w:tmpl w:val="2266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42914"/>
    <w:multiLevelType w:val="hybridMultilevel"/>
    <w:tmpl w:val="4FB8D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0C0B43"/>
    <w:multiLevelType w:val="hybridMultilevel"/>
    <w:tmpl w:val="8DD8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4423B9"/>
    <w:multiLevelType w:val="hybridMultilevel"/>
    <w:tmpl w:val="36AE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4B41BE"/>
    <w:multiLevelType w:val="hybridMultilevel"/>
    <w:tmpl w:val="B408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7C7510"/>
    <w:multiLevelType w:val="hybridMultilevel"/>
    <w:tmpl w:val="6D0CE398"/>
    <w:lvl w:ilvl="0" w:tplc="BEF40B96">
      <w:start w:val="1"/>
      <w:numFmt w:val="bullet"/>
      <w:lvlText w:val="•"/>
      <w:lvlJc w:val="left"/>
      <w:pPr>
        <w:tabs>
          <w:tab w:val="num" w:pos="720"/>
        </w:tabs>
        <w:ind w:left="720" w:hanging="360"/>
      </w:pPr>
      <w:rPr>
        <w:rFonts w:ascii="Arial" w:hAnsi="Arial" w:cs="Times New Roman" w:hint="default"/>
      </w:rPr>
    </w:lvl>
    <w:lvl w:ilvl="1" w:tplc="CD9ED1F4">
      <w:start w:val="1"/>
      <w:numFmt w:val="bullet"/>
      <w:lvlText w:val="•"/>
      <w:lvlJc w:val="left"/>
      <w:pPr>
        <w:tabs>
          <w:tab w:val="num" w:pos="1440"/>
        </w:tabs>
        <w:ind w:left="1440" w:hanging="360"/>
      </w:pPr>
      <w:rPr>
        <w:rFonts w:ascii="Arial" w:hAnsi="Arial" w:cs="Times New Roman" w:hint="default"/>
      </w:rPr>
    </w:lvl>
    <w:lvl w:ilvl="2" w:tplc="07CC6EB4">
      <w:start w:val="1"/>
      <w:numFmt w:val="bullet"/>
      <w:lvlText w:val="•"/>
      <w:lvlJc w:val="left"/>
      <w:pPr>
        <w:tabs>
          <w:tab w:val="num" w:pos="2160"/>
        </w:tabs>
        <w:ind w:left="2160" w:hanging="360"/>
      </w:pPr>
      <w:rPr>
        <w:rFonts w:ascii="Arial" w:hAnsi="Arial" w:cs="Times New Roman" w:hint="default"/>
      </w:rPr>
    </w:lvl>
    <w:lvl w:ilvl="3" w:tplc="6970880A">
      <w:start w:val="1"/>
      <w:numFmt w:val="bullet"/>
      <w:lvlText w:val="•"/>
      <w:lvlJc w:val="left"/>
      <w:pPr>
        <w:tabs>
          <w:tab w:val="num" w:pos="2880"/>
        </w:tabs>
        <w:ind w:left="2880" w:hanging="360"/>
      </w:pPr>
      <w:rPr>
        <w:rFonts w:ascii="Arial" w:hAnsi="Arial" w:cs="Times New Roman" w:hint="default"/>
      </w:rPr>
    </w:lvl>
    <w:lvl w:ilvl="4" w:tplc="6A8E3288">
      <w:start w:val="1"/>
      <w:numFmt w:val="bullet"/>
      <w:lvlText w:val="•"/>
      <w:lvlJc w:val="left"/>
      <w:pPr>
        <w:tabs>
          <w:tab w:val="num" w:pos="3600"/>
        </w:tabs>
        <w:ind w:left="3600" w:hanging="360"/>
      </w:pPr>
      <w:rPr>
        <w:rFonts w:ascii="Arial" w:hAnsi="Arial" w:cs="Times New Roman" w:hint="default"/>
      </w:rPr>
    </w:lvl>
    <w:lvl w:ilvl="5" w:tplc="185CD4CA">
      <w:start w:val="1"/>
      <w:numFmt w:val="bullet"/>
      <w:lvlText w:val="•"/>
      <w:lvlJc w:val="left"/>
      <w:pPr>
        <w:tabs>
          <w:tab w:val="num" w:pos="4320"/>
        </w:tabs>
        <w:ind w:left="4320" w:hanging="360"/>
      </w:pPr>
      <w:rPr>
        <w:rFonts w:ascii="Arial" w:hAnsi="Arial" w:cs="Times New Roman" w:hint="default"/>
      </w:rPr>
    </w:lvl>
    <w:lvl w:ilvl="6" w:tplc="DABCF2E0">
      <w:start w:val="1"/>
      <w:numFmt w:val="bullet"/>
      <w:lvlText w:val="•"/>
      <w:lvlJc w:val="left"/>
      <w:pPr>
        <w:tabs>
          <w:tab w:val="num" w:pos="5040"/>
        </w:tabs>
        <w:ind w:left="5040" w:hanging="360"/>
      </w:pPr>
      <w:rPr>
        <w:rFonts w:ascii="Arial" w:hAnsi="Arial" w:cs="Times New Roman" w:hint="default"/>
      </w:rPr>
    </w:lvl>
    <w:lvl w:ilvl="7" w:tplc="36BEA5A4">
      <w:start w:val="1"/>
      <w:numFmt w:val="bullet"/>
      <w:lvlText w:val="•"/>
      <w:lvlJc w:val="left"/>
      <w:pPr>
        <w:tabs>
          <w:tab w:val="num" w:pos="5760"/>
        </w:tabs>
        <w:ind w:left="5760" w:hanging="360"/>
      </w:pPr>
      <w:rPr>
        <w:rFonts w:ascii="Arial" w:hAnsi="Arial" w:cs="Times New Roman" w:hint="default"/>
      </w:rPr>
    </w:lvl>
    <w:lvl w:ilvl="8" w:tplc="0E982286">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3CC34331"/>
    <w:multiLevelType w:val="hybridMultilevel"/>
    <w:tmpl w:val="C71A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F13218"/>
    <w:multiLevelType w:val="hybridMultilevel"/>
    <w:tmpl w:val="FC68C80C"/>
    <w:lvl w:ilvl="0" w:tplc="F920FB58">
      <w:start w:val="1"/>
      <w:numFmt w:val="bullet"/>
      <w:lvlText w:val="•"/>
      <w:lvlJc w:val="left"/>
      <w:pPr>
        <w:tabs>
          <w:tab w:val="num" w:pos="720"/>
        </w:tabs>
        <w:ind w:left="720" w:hanging="360"/>
      </w:pPr>
      <w:rPr>
        <w:rFonts w:ascii="Arial" w:hAnsi="Arial" w:cs="Times New Roman" w:hint="default"/>
      </w:rPr>
    </w:lvl>
    <w:lvl w:ilvl="1" w:tplc="E8209E14">
      <w:start w:val="1"/>
      <w:numFmt w:val="bullet"/>
      <w:lvlText w:val="•"/>
      <w:lvlJc w:val="left"/>
      <w:pPr>
        <w:tabs>
          <w:tab w:val="num" w:pos="1440"/>
        </w:tabs>
        <w:ind w:left="1440" w:hanging="360"/>
      </w:pPr>
      <w:rPr>
        <w:rFonts w:ascii="Arial" w:hAnsi="Arial" w:cs="Times New Roman" w:hint="default"/>
      </w:rPr>
    </w:lvl>
    <w:lvl w:ilvl="2" w:tplc="CDF25EB6">
      <w:start w:val="1"/>
      <w:numFmt w:val="bullet"/>
      <w:lvlText w:val="•"/>
      <w:lvlJc w:val="left"/>
      <w:pPr>
        <w:tabs>
          <w:tab w:val="num" w:pos="2160"/>
        </w:tabs>
        <w:ind w:left="2160" w:hanging="360"/>
      </w:pPr>
      <w:rPr>
        <w:rFonts w:ascii="Arial" w:hAnsi="Arial" w:cs="Times New Roman" w:hint="default"/>
      </w:rPr>
    </w:lvl>
    <w:lvl w:ilvl="3" w:tplc="F6549DB6">
      <w:start w:val="1"/>
      <w:numFmt w:val="bullet"/>
      <w:lvlText w:val="•"/>
      <w:lvlJc w:val="left"/>
      <w:pPr>
        <w:tabs>
          <w:tab w:val="num" w:pos="2880"/>
        </w:tabs>
        <w:ind w:left="2880" w:hanging="360"/>
      </w:pPr>
      <w:rPr>
        <w:rFonts w:ascii="Arial" w:hAnsi="Arial" w:cs="Times New Roman" w:hint="default"/>
      </w:rPr>
    </w:lvl>
    <w:lvl w:ilvl="4" w:tplc="BB8A3EDA">
      <w:start w:val="1"/>
      <w:numFmt w:val="bullet"/>
      <w:lvlText w:val="•"/>
      <w:lvlJc w:val="left"/>
      <w:pPr>
        <w:tabs>
          <w:tab w:val="num" w:pos="3600"/>
        </w:tabs>
        <w:ind w:left="3600" w:hanging="360"/>
      </w:pPr>
      <w:rPr>
        <w:rFonts w:ascii="Arial" w:hAnsi="Arial" w:cs="Times New Roman" w:hint="default"/>
      </w:rPr>
    </w:lvl>
    <w:lvl w:ilvl="5" w:tplc="A83C70F2">
      <w:start w:val="1"/>
      <w:numFmt w:val="bullet"/>
      <w:lvlText w:val="•"/>
      <w:lvlJc w:val="left"/>
      <w:pPr>
        <w:tabs>
          <w:tab w:val="num" w:pos="4320"/>
        </w:tabs>
        <w:ind w:left="4320" w:hanging="360"/>
      </w:pPr>
      <w:rPr>
        <w:rFonts w:ascii="Arial" w:hAnsi="Arial" w:cs="Times New Roman" w:hint="default"/>
      </w:rPr>
    </w:lvl>
    <w:lvl w:ilvl="6" w:tplc="85CC5F66">
      <w:start w:val="1"/>
      <w:numFmt w:val="bullet"/>
      <w:lvlText w:val="•"/>
      <w:lvlJc w:val="left"/>
      <w:pPr>
        <w:tabs>
          <w:tab w:val="num" w:pos="5040"/>
        </w:tabs>
        <w:ind w:left="5040" w:hanging="360"/>
      </w:pPr>
      <w:rPr>
        <w:rFonts w:ascii="Arial" w:hAnsi="Arial" w:cs="Times New Roman" w:hint="default"/>
      </w:rPr>
    </w:lvl>
    <w:lvl w:ilvl="7" w:tplc="5202A12E">
      <w:start w:val="1"/>
      <w:numFmt w:val="bullet"/>
      <w:lvlText w:val="•"/>
      <w:lvlJc w:val="left"/>
      <w:pPr>
        <w:tabs>
          <w:tab w:val="num" w:pos="5760"/>
        </w:tabs>
        <w:ind w:left="5760" w:hanging="360"/>
      </w:pPr>
      <w:rPr>
        <w:rFonts w:ascii="Arial" w:hAnsi="Arial" w:cs="Times New Roman" w:hint="default"/>
      </w:rPr>
    </w:lvl>
    <w:lvl w:ilvl="8" w:tplc="E9AC1A68">
      <w:start w:val="1"/>
      <w:numFmt w:val="bullet"/>
      <w:lvlText w:val="•"/>
      <w:lvlJc w:val="left"/>
      <w:pPr>
        <w:tabs>
          <w:tab w:val="num" w:pos="6480"/>
        </w:tabs>
        <w:ind w:left="6480" w:hanging="360"/>
      </w:pPr>
      <w:rPr>
        <w:rFonts w:ascii="Arial" w:hAnsi="Arial" w:cs="Times New Roman" w:hint="default"/>
      </w:rPr>
    </w:lvl>
  </w:abstractNum>
  <w:abstractNum w:abstractNumId="14" w15:restartNumberingAfterBreak="0">
    <w:nsid w:val="41010C3C"/>
    <w:multiLevelType w:val="hybridMultilevel"/>
    <w:tmpl w:val="F202CCC6"/>
    <w:lvl w:ilvl="0" w:tplc="672A29B4">
      <w:start w:val="1"/>
      <w:numFmt w:val="bullet"/>
      <w:lvlText w:val="•"/>
      <w:lvlJc w:val="left"/>
      <w:pPr>
        <w:tabs>
          <w:tab w:val="num" w:pos="720"/>
        </w:tabs>
        <w:ind w:left="720" w:hanging="360"/>
      </w:pPr>
      <w:rPr>
        <w:rFonts w:ascii="Arial" w:hAnsi="Arial" w:cs="Times New Roman" w:hint="default"/>
      </w:rPr>
    </w:lvl>
    <w:lvl w:ilvl="1" w:tplc="3BEAF638">
      <w:start w:val="1"/>
      <w:numFmt w:val="bullet"/>
      <w:lvlText w:val="•"/>
      <w:lvlJc w:val="left"/>
      <w:pPr>
        <w:tabs>
          <w:tab w:val="num" w:pos="1440"/>
        </w:tabs>
        <w:ind w:left="1440" w:hanging="360"/>
      </w:pPr>
      <w:rPr>
        <w:rFonts w:ascii="Arial" w:hAnsi="Arial" w:cs="Times New Roman" w:hint="default"/>
      </w:rPr>
    </w:lvl>
    <w:lvl w:ilvl="2" w:tplc="6F382AB2">
      <w:start w:val="1"/>
      <w:numFmt w:val="bullet"/>
      <w:lvlText w:val="•"/>
      <w:lvlJc w:val="left"/>
      <w:pPr>
        <w:tabs>
          <w:tab w:val="num" w:pos="2160"/>
        </w:tabs>
        <w:ind w:left="2160" w:hanging="360"/>
      </w:pPr>
      <w:rPr>
        <w:rFonts w:ascii="Arial" w:hAnsi="Arial" w:cs="Times New Roman" w:hint="default"/>
      </w:rPr>
    </w:lvl>
    <w:lvl w:ilvl="3" w:tplc="45A2E00C">
      <w:start w:val="1"/>
      <w:numFmt w:val="bullet"/>
      <w:lvlText w:val="•"/>
      <w:lvlJc w:val="left"/>
      <w:pPr>
        <w:tabs>
          <w:tab w:val="num" w:pos="2880"/>
        </w:tabs>
        <w:ind w:left="2880" w:hanging="360"/>
      </w:pPr>
      <w:rPr>
        <w:rFonts w:ascii="Arial" w:hAnsi="Arial" w:cs="Times New Roman" w:hint="default"/>
      </w:rPr>
    </w:lvl>
    <w:lvl w:ilvl="4" w:tplc="B90CB684">
      <w:start w:val="1"/>
      <w:numFmt w:val="bullet"/>
      <w:lvlText w:val="•"/>
      <w:lvlJc w:val="left"/>
      <w:pPr>
        <w:tabs>
          <w:tab w:val="num" w:pos="3600"/>
        </w:tabs>
        <w:ind w:left="3600" w:hanging="360"/>
      </w:pPr>
      <w:rPr>
        <w:rFonts w:ascii="Arial" w:hAnsi="Arial" w:cs="Times New Roman" w:hint="default"/>
      </w:rPr>
    </w:lvl>
    <w:lvl w:ilvl="5" w:tplc="62E8C6CA">
      <w:start w:val="1"/>
      <w:numFmt w:val="bullet"/>
      <w:lvlText w:val="•"/>
      <w:lvlJc w:val="left"/>
      <w:pPr>
        <w:tabs>
          <w:tab w:val="num" w:pos="4320"/>
        </w:tabs>
        <w:ind w:left="4320" w:hanging="360"/>
      </w:pPr>
      <w:rPr>
        <w:rFonts w:ascii="Arial" w:hAnsi="Arial" w:cs="Times New Roman" w:hint="default"/>
      </w:rPr>
    </w:lvl>
    <w:lvl w:ilvl="6" w:tplc="E092C89E">
      <w:start w:val="1"/>
      <w:numFmt w:val="bullet"/>
      <w:lvlText w:val="•"/>
      <w:lvlJc w:val="left"/>
      <w:pPr>
        <w:tabs>
          <w:tab w:val="num" w:pos="5040"/>
        </w:tabs>
        <w:ind w:left="5040" w:hanging="360"/>
      </w:pPr>
      <w:rPr>
        <w:rFonts w:ascii="Arial" w:hAnsi="Arial" w:cs="Times New Roman" w:hint="default"/>
      </w:rPr>
    </w:lvl>
    <w:lvl w:ilvl="7" w:tplc="EFDE96A4">
      <w:start w:val="1"/>
      <w:numFmt w:val="bullet"/>
      <w:lvlText w:val="•"/>
      <w:lvlJc w:val="left"/>
      <w:pPr>
        <w:tabs>
          <w:tab w:val="num" w:pos="5760"/>
        </w:tabs>
        <w:ind w:left="5760" w:hanging="360"/>
      </w:pPr>
      <w:rPr>
        <w:rFonts w:ascii="Arial" w:hAnsi="Arial" w:cs="Times New Roman" w:hint="default"/>
      </w:rPr>
    </w:lvl>
    <w:lvl w:ilvl="8" w:tplc="76924D26">
      <w:start w:val="1"/>
      <w:numFmt w:val="bullet"/>
      <w:lvlText w:val="•"/>
      <w:lvlJc w:val="left"/>
      <w:pPr>
        <w:tabs>
          <w:tab w:val="num" w:pos="6480"/>
        </w:tabs>
        <w:ind w:left="6480" w:hanging="360"/>
      </w:pPr>
      <w:rPr>
        <w:rFonts w:ascii="Arial" w:hAnsi="Arial" w:cs="Times New Roman" w:hint="default"/>
      </w:rPr>
    </w:lvl>
  </w:abstractNum>
  <w:abstractNum w:abstractNumId="15" w15:restartNumberingAfterBreak="0">
    <w:nsid w:val="418D7E9C"/>
    <w:multiLevelType w:val="hybridMultilevel"/>
    <w:tmpl w:val="D514FD06"/>
    <w:lvl w:ilvl="0" w:tplc="5BDEF048">
      <w:start w:val="1"/>
      <w:numFmt w:val="bullet"/>
      <w:lvlText w:val="•"/>
      <w:lvlJc w:val="left"/>
      <w:pPr>
        <w:tabs>
          <w:tab w:val="num" w:pos="720"/>
        </w:tabs>
        <w:ind w:left="720" w:hanging="360"/>
      </w:pPr>
      <w:rPr>
        <w:rFonts w:ascii="Arial" w:hAnsi="Arial" w:cs="Times New Roman" w:hint="default"/>
      </w:rPr>
    </w:lvl>
    <w:lvl w:ilvl="1" w:tplc="7B12E1D8">
      <w:start w:val="1"/>
      <w:numFmt w:val="bullet"/>
      <w:lvlText w:val="•"/>
      <w:lvlJc w:val="left"/>
      <w:pPr>
        <w:tabs>
          <w:tab w:val="num" w:pos="1440"/>
        </w:tabs>
        <w:ind w:left="1440" w:hanging="360"/>
      </w:pPr>
      <w:rPr>
        <w:rFonts w:ascii="Arial" w:hAnsi="Arial" w:cs="Times New Roman" w:hint="default"/>
      </w:rPr>
    </w:lvl>
    <w:lvl w:ilvl="2" w:tplc="BFE2CDB6">
      <w:start w:val="1"/>
      <w:numFmt w:val="bullet"/>
      <w:lvlText w:val="•"/>
      <w:lvlJc w:val="left"/>
      <w:pPr>
        <w:tabs>
          <w:tab w:val="num" w:pos="2160"/>
        </w:tabs>
        <w:ind w:left="2160" w:hanging="360"/>
      </w:pPr>
      <w:rPr>
        <w:rFonts w:ascii="Arial" w:hAnsi="Arial" w:cs="Times New Roman" w:hint="default"/>
      </w:rPr>
    </w:lvl>
    <w:lvl w:ilvl="3" w:tplc="7A9635BA">
      <w:start w:val="1"/>
      <w:numFmt w:val="bullet"/>
      <w:lvlText w:val="•"/>
      <w:lvlJc w:val="left"/>
      <w:pPr>
        <w:tabs>
          <w:tab w:val="num" w:pos="2880"/>
        </w:tabs>
        <w:ind w:left="2880" w:hanging="360"/>
      </w:pPr>
      <w:rPr>
        <w:rFonts w:ascii="Arial" w:hAnsi="Arial" w:cs="Times New Roman" w:hint="default"/>
      </w:rPr>
    </w:lvl>
    <w:lvl w:ilvl="4" w:tplc="865A92BA">
      <w:start w:val="1"/>
      <w:numFmt w:val="bullet"/>
      <w:lvlText w:val="•"/>
      <w:lvlJc w:val="left"/>
      <w:pPr>
        <w:tabs>
          <w:tab w:val="num" w:pos="3600"/>
        </w:tabs>
        <w:ind w:left="3600" w:hanging="360"/>
      </w:pPr>
      <w:rPr>
        <w:rFonts w:ascii="Arial" w:hAnsi="Arial" w:cs="Times New Roman" w:hint="default"/>
      </w:rPr>
    </w:lvl>
    <w:lvl w:ilvl="5" w:tplc="75388330">
      <w:start w:val="1"/>
      <w:numFmt w:val="bullet"/>
      <w:lvlText w:val="•"/>
      <w:lvlJc w:val="left"/>
      <w:pPr>
        <w:tabs>
          <w:tab w:val="num" w:pos="4320"/>
        </w:tabs>
        <w:ind w:left="4320" w:hanging="360"/>
      </w:pPr>
      <w:rPr>
        <w:rFonts w:ascii="Arial" w:hAnsi="Arial" w:cs="Times New Roman" w:hint="default"/>
      </w:rPr>
    </w:lvl>
    <w:lvl w:ilvl="6" w:tplc="387C750A">
      <w:start w:val="1"/>
      <w:numFmt w:val="bullet"/>
      <w:lvlText w:val="•"/>
      <w:lvlJc w:val="left"/>
      <w:pPr>
        <w:tabs>
          <w:tab w:val="num" w:pos="5040"/>
        </w:tabs>
        <w:ind w:left="5040" w:hanging="360"/>
      </w:pPr>
      <w:rPr>
        <w:rFonts w:ascii="Arial" w:hAnsi="Arial" w:cs="Times New Roman" w:hint="default"/>
      </w:rPr>
    </w:lvl>
    <w:lvl w:ilvl="7" w:tplc="7EB8E424">
      <w:start w:val="1"/>
      <w:numFmt w:val="bullet"/>
      <w:lvlText w:val="•"/>
      <w:lvlJc w:val="left"/>
      <w:pPr>
        <w:tabs>
          <w:tab w:val="num" w:pos="5760"/>
        </w:tabs>
        <w:ind w:left="5760" w:hanging="360"/>
      </w:pPr>
      <w:rPr>
        <w:rFonts w:ascii="Arial" w:hAnsi="Arial" w:cs="Times New Roman" w:hint="default"/>
      </w:rPr>
    </w:lvl>
    <w:lvl w:ilvl="8" w:tplc="BBEC01FE">
      <w:start w:val="1"/>
      <w:numFmt w:val="bullet"/>
      <w:lvlText w:val="•"/>
      <w:lvlJc w:val="left"/>
      <w:pPr>
        <w:tabs>
          <w:tab w:val="num" w:pos="6480"/>
        </w:tabs>
        <w:ind w:left="6480" w:hanging="360"/>
      </w:pPr>
      <w:rPr>
        <w:rFonts w:ascii="Arial" w:hAnsi="Arial" w:cs="Times New Roman" w:hint="default"/>
      </w:rPr>
    </w:lvl>
  </w:abstractNum>
  <w:abstractNum w:abstractNumId="16" w15:restartNumberingAfterBreak="0">
    <w:nsid w:val="419F43EE"/>
    <w:multiLevelType w:val="hybridMultilevel"/>
    <w:tmpl w:val="70F01378"/>
    <w:lvl w:ilvl="0" w:tplc="6AD268FE">
      <w:start w:val="1"/>
      <w:numFmt w:val="bullet"/>
      <w:lvlText w:val="•"/>
      <w:lvlJc w:val="left"/>
      <w:pPr>
        <w:tabs>
          <w:tab w:val="num" w:pos="720"/>
        </w:tabs>
        <w:ind w:left="720" w:hanging="360"/>
      </w:pPr>
      <w:rPr>
        <w:rFonts w:ascii="Arial" w:hAnsi="Arial" w:cs="Times New Roman" w:hint="default"/>
      </w:rPr>
    </w:lvl>
    <w:lvl w:ilvl="1" w:tplc="5F104254">
      <w:start w:val="1"/>
      <w:numFmt w:val="bullet"/>
      <w:lvlText w:val="•"/>
      <w:lvlJc w:val="left"/>
      <w:pPr>
        <w:tabs>
          <w:tab w:val="num" w:pos="1440"/>
        </w:tabs>
        <w:ind w:left="1440" w:hanging="360"/>
      </w:pPr>
      <w:rPr>
        <w:rFonts w:ascii="Arial" w:hAnsi="Arial" w:cs="Times New Roman" w:hint="default"/>
      </w:rPr>
    </w:lvl>
    <w:lvl w:ilvl="2" w:tplc="08B685EA">
      <w:start w:val="1"/>
      <w:numFmt w:val="bullet"/>
      <w:lvlText w:val="•"/>
      <w:lvlJc w:val="left"/>
      <w:pPr>
        <w:tabs>
          <w:tab w:val="num" w:pos="2160"/>
        </w:tabs>
        <w:ind w:left="2160" w:hanging="360"/>
      </w:pPr>
      <w:rPr>
        <w:rFonts w:ascii="Arial" w:hAnsi="Arial" w:cs="Times New Roman" w:hint="default"/>
      </w:rPr>
    </w:lvl>
    <w:lvl w:ilvl="3" w:tplc="D6340B92">
      <w:start w:val="1"/>
      <w:numFmt w:val="bullet"/>
      <w:lvlText w:val="•"/>
      <w:lvlJc w:val="left"/>
      <w:pPr>
        <w:tabs>
          <w:tab w:val="num" w:pos="2880"/>
        </w:tabs>
        <w:ind w:left="2880" w:hanging="360"/>
      </w:pPr>
      <w:rPr>
        <w:rFonts w:ascii="Arial" w:hAnsi="Arial" w:cs="Times New Roman" w:hint="default"/>
      </w:rPr>
    </w:lvl>
    <w:lvl w:ilvl="4" w:tplc="2D7EA156">
      <w:start w:val="1"/>
      <w:numFmt w:val="bullet"/>
      <w:lvlText w:val="•"/>
      <w:lvlJc w:val="left"/>
      <w:pPr>
        <w:tabs>
          <w:tab w:val="num" w:pos="3600"/>
        </w:tabs>
        <w:ind w:left="3600" w:hanging="360"/>
      </w:pPr>
      <w:rPr>
        <w:rFonts w:ascii="Arial" w:hAnsi="Arial" w:cs="Times New Roman" w:hint="default"/>
      </w:rPr>
    </w:lvl>
    <w:lvl w:ilvl="5" w:tplc="D19C0E4C">
      <w:start w:val="1"/>
      <w:numFmt w:val="bullet"/>
      <w:lvlText w:val="•"/>
      <w:lvlJc w:val="left"/>
      <w:pPr>
        <w:tabs>
          <w:tab w:val="num" w:pos="4320"/>
        </w:tabs>
        <w:ind w:left="4320" w:hanging="360"/>
      </w:pPr>
      <w:rPr>
        <w:rFonts w:ascii="Arial" w:hAnsi="Arial" w:cs="Times New Roman" w:hint="default"/>
      </w:rPr>
    </w:lvl>
    <w:lvl w:ilvl="6" w:tplc="B7166C40">
      <w:start w:val="1"/>
      <w:numFmt w:val="bullet"/>
      <w:lvlText w:val="•"/>
      <w:lvlJc w:val="left"/>
      <w:pPr>
        <w:tabs>
          <w:tab w:val="num" w:pos="5040"/>
        </w:tabs>
        <w:ind w:left="5040" w:hanging="360"/>
      </w:pPr>
      <w:rPr>
        <w:rFonts w:ascii="Arial" w:hAnsi="Arial" w:cs="Times New Roman" w:hint="default"/>
      </w:rPr>
    </w:lvl>
    <w:lvl w:ilvl="7" w:tplc="31749522">
      <w:start w:val="1"/>
      <w:numFmt w:val="bullet"/>
      <w:lvlText w:val="•"/>
      <w:lvlJc w:val="left"/>
      <w:pPr>
        <w:tabs>
          <w:tab w:val="num" w:pos="5760"/>
        </w:tabs>
        <w:ind w:left="5760" w:hanging="360"/>
      </w:pPr>
      <w:rPr>
        <w:rFonts w:ascii="Arial" w:hAnsi="Arial" w:cs="Times New Roman" w:hint="default"/>
      </w:rPr>
    </w:lvl>
    <w:lvl w:ilvl="8" w:tplc="E2A220B2">
      <w:start w:val="1"/>
      <w:numFmt w:val="bullet"/>
      <w:lvlText w:val="•"/>
      <w:lvlJc w:val="left"/>
      <w:pPr>
        <w:tabs>
          <w:tab w:val="num" w:pos="6480"/>
        </w:tabs>
        <w:ind w:left="6480" w:hanging="360"/>
      </w:pPr>
      <w:rPr>
        <w:rFonts w:ascii="Arial" w:hAnsi="Arial" w:cs="Times New Roman" w:hint="default"/>
      </w:rPr>
    </w:lvl>
  </w:abstractNum>
  <w:abstractNum w:abstractNumId="17" w15:restartNumberingAfterBreak="0">
    <w:nsid w:val="43B95630"/>
    <w:multiLevelType w:val="hybridMultilevel"/>
    <w:tmpl w:val="57828050"/>
    <w:lvl w:ilvl="0" w:tplc="EC1A4F28">
      <w:start w:val="1"/>
      <w:numFmt w:val="bullet"/>
      <w:lvlText w:val="•"/>
      <w:lvlJc w:val="left"/>
      <w:pPr>
        <w:tabs>
          <w:tab w:val="num" w:pos="720"/>
        </w:tabs>
        <w:ind w:left="720" w:hanging="360"/>
      </w:pPr>
      <w:rPr>
        <w:rFonts w:ascii="Arial" w:hAnsi="Arial" w:cs="Times New Roman" w:hint="default"/>
      </w:rPr>
    </w:lvl>
    <w:lvl w:ilvl="1" w:tplc="0D7A5F94">
      <w:start w:val="1"/>
      <w:numFmt w:val="bullet"/>
      <w:lvlText w:val="•"/>
      <w:lvlJc w:val="left"/>
      <w:pPr>
        <w:tabs>
          <w:tab w:val="num" w:pos="1440"/>
        </w:tabs>
        <w:ind w:left="1440" w:hanging="360"/>
      </w:pPr>
      <w:rPr>
        <w:rFonts w:ascii="Arial" w:hAnsi="Arial" w:cs="Times New Roman" w:hint="default"/>
      </w:rPr>
    </w:lvl>
    <w:lvl w:ilvl="2" w:tplc="45DA2AB2">
      <w:start w:val="1"/>
      <w:numFmt w:val="bullet"/>
      <w:lvlText w:val="•"/>
      <w:lvlJc w:val="left"/>
      <w:pPr>
        <w:tabs>
          <w:tab w:val="num" w:pos="2160"/>
        </w:tabs>
        <w:ind w:left="2160" w:hanging="360"/>
      </w:pPr>
      <w:rPr>
        <w:rFonts w:ascii="Arial" w:hAnsi="Arial" w:cs="Times New Roman" w:hint="default"/>
      </w:rPr>
    </w:lvl>
    <w:lvl w:ilvl="3" w:tplc="59EE888A">
      <w:start w:val="1"/>
      <w:numFmt w:val="bullet"/>
      <w:lvlText w:val="•"/>
      <w:lvlJc w:val="left"/>
      <w:pPr>
        <w:tabs>
          <w:tab w:val="num" w:pos="2880"/>
        </w:tabs>
        <w:ind w:left="2880" w:hanging="360"/>
      </w:pPr>
      <w:rPr>
        <w:rFonts w:ascii="Arial" w:hAnsi="Arial" w:cs="Times New Roman" w:hint="default"/>
      </w:rPr>
    </w:lvl>
    <w:lvl w:ilvl="4" w:tplc="A078B52A">
      <w:start w:val="1"/>
      <w:numFmt w:val="bullet"/>
      <w:lvlText w:val="•"/>
      <w:lvlJc w:val="left"/>
      <w:pPr>
        <w:tabs>
          <w:tab w:val="num" w:pos="3600"/>
        </w:tabs>
        <w:ind w:left="3600" w:hanging="360"/>
      </w:pPr>
      <w:rPr>
        <w:rFonts w:ascii="Arial" w:hAnsi="Arial" w:cs="Times New Roman" w:hint="default"/>
      </w:rPr>
    </w:lvl>
    <w:lvl w:ilvl="5" w:tplc="9DEE4DB6">
      <w:start w:val="1"/>
      <w:numFmt w:val="bullet"/>
      <w:lvlText w:val="•"/>
      <w:lvlJc w:val="left"/>
      <w:pPr>
        <w:tabs>
          <w:tab w:val="num" w:pos="4320"/>
        </w:tabs>
        <w:ind w:left="4320" w:hanging="360"/>
      </w:pPr>
      <w:rPr>
        <w:rFonts w:ascii="Arial" w:hAnsi="Arial" w:cs="Times New Roman" w:hint="default"/>
      </w:rPr>
    </w:lvl>
    <w:lvl w:ilvl="6" w:tplc="D2B85432">
      <w:start w:val="1"/>
      <w:numFmt w:val="bullet"/>
      <w:lvlText w:val="•"/>
      <w:lvlJc w:val="left"/>
      <w:pPr>
        <w:tabs>
          <w:tab w:val="num" w:pos="5040"/>
        </w:tabs>
        <w:ind w:left="5040" w:hanging="360"/>
      </w:pPr>
      <w:rPr>
        <w:rFonts w:ascii="Arial" w:hAnsi="Arial" w:cs="Times New Roman" w:hint="default"/>
      </w:rPr>
    </w:lvl>
    <w:lvl w:ilvl="7" w:tplc="597C6B26">
      <w:start w:val="1"/>
      <w:numFmt w:val="bullet"/>
      <w:lvlText w:val="•"/>
      <w:lvlJc w:val="left"/>
      <w:pPr>
        <w:tabs>
          <w:tab w:val="num" w:pos="5760"/>
        </w:tabs>
        <w:ind w:left="5760" w:hanging="360"/>
      </w:pPr>
      <w:rPr>
        <w:rFonts w:ascii="Arial" w:hAnsi="Arial" w:cs="Times New Roman" w:hint="default"/>
      </w:rPr>
    </w:lvl>
    <w:lvl w:ilvl="8" w:tplc="FFF27536">
      <w:start w:val="1"/>
      <w:numFmt w:val="bullet"/>
      <w:lvlText w:val="•"/>
      <w:lvlJc w:val="left"/>
      <w:pPr>
        <w:tabs>
          <w:tab w:val="num" w:pos="6480"/>
        </w:tabs>
        <w:ind w:left="6480" w:hanging="360"/>
      </w:pPr>
      <w:rPr>
        <w:rFonts w:ascii="Arial" w:hAnsi="Arial" w:cs="Times New Roman" w:hint="default"/>
      </w:rPr>
    </w:lvl>
  </w:abstractNum>
  <w:abstractNum w:abstractNumId="18" w15:restartNumberingAfterBreak="0">
    <w:nsid w:val="4CF815A6"/>
    <w:multiLevelType w:val="hybridMultilevel"/>
    <w:tmpl w:val="8CAE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AF6837"/>
    <w:multiLevelType w:val="hybridMultilevel"/>
    <w:tmpl w:val="CB1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995C06"/>
    <w:multiLevelType w:val="hybridMultilevel"/>
    <w:tmpl w:val="47829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A637C0"/>
    <w:multiLevelType w:val="hybridMultilevel"/>
    <w:tmpl w:val="F9502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864520"/>
    <w:multiLevelType w:val="hybridMultilevel"/>
    <w:tmpl w:val="487E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067407"/>
    <w:multiLevelType w:val="hybridMultilevel"/>
    <w:tmpl w:val="ED4C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761905"/>
    <w:multiLevelType w:val="hybridMultilevel"/>
    <w:tmpl w:val="236E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3"/>
  </w:num>
  <w:num w:numId="3">
    <w:abstractNumId w:val="6"/>
  </w:num>
  <w:num w:numId="4">
    <w:abstractNumId w:val="22"/>
  </w:num>
  <w:num w:numId="5">
    <w:abstractNumId w:val="8"/>
  </w:num>
  <w:num w:numId="6">
    <w:abstractNumId w:val="19"/>
  </w:num>
  <w:num w:numId="7">
    <w:abstractNumId w:val="3"/>
  </w:num>
  <w:num w:numId="8">
    <w:abstractNumId w:val="4"/>
  </w:num>
  <w:num w:numId="9">
    <w:abstractNumId w:val="12"/>
  </w:num>
  <w:num w:numId="10">
    <w:abstractNumId w:val="10"/>
  </w:num>
  <w:num w:numId="11">
    <w:abstractNumId w:val="20"/>
  </w:num>
  <w:num w:numId="12">
    <w:abstractNumId w:val="2"/>
  </w:num>
  <w:num w:numId="13">
    <w:abstractNumId w:val="5"/>
  </w:num>
  <w:num w:numId="14">
    <w:abstractNumId w:val="24"/>
  </w:num>
  <w:num w:numId="15">
    <w:abstractNumId w:val="1"/>
  </w:num>
  <w:num w:numId="16">
    <w:abstractNumId w:val="7"/>
  </w:num>
  <w:num w:numId="17">
    <w:abstractNumId w:val="9"/>
  </w:num>
  <w:num w:numId="18">
    <w:abstractNumId w:val="21"/>
  </w:num>
  <w:num w:numId="19">
    <w:abstractNumId w:val="11"/>
  </w:num>
  <w:num w:numId="20">
    <w:abstractNumId w:val="17"/>
  </w:num>
  <w:num w:numId="21">
    <w:abstractNumId w:val="16"/>
  </w:num>
  <w:num w:numId="22">
    <w:abstractNumId w:val="15"/>
  </w:num>
  <w:num w:numId="23">
    <w:abstractNumId w:val="13"/>
  </w:num>
  <w:num w:numId="24">
    <w:abstractNumId w:val="14"/>
  </w:num>
  <w:num w:numId="2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CB"/>
    <w:rsid w:val="00122ADD"/>
    <w:rsid w:val="00122BAE"/>
    <w:rsid w:val="00123821"/>
    <w:rsid w:val="001241E0"/>
    <w:rsid w:val="00124665"/>
    <w:rsid w:val="0012503B"/>
    <w:rsid w:val="00125ACA"/>
    <w:rsid w:val="00126021"/>
    <w:rsid w:val="00126291"/>
    <w:rsid w:val="001267EE"/>
    <w:rsid w:val="0012683D"/>
    <w:rsid w:val="00126A00"/>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1F73AD"/>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058"/>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894"/>
    <w:rsid w:val="00374982"/>
    <w:rsid w:val="00374D08"/>
    <w:rsid w:val="00376043"/>
    <w:rsid w:val="003773E6"/>
    <w:rsid w:val="003804D9"/>
    <w:rsid w:val="003806D1"/>
    <w:rsid w:val="00380DCC"/>
    <w:rsid w:val="003816EA"/>
    <w:rsid w:val="00381D52"/>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84A"/>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1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CC6"/>
    <w:rsid w:val="005F2E10"/>
    <w:rsid w:val="005F306F"/>
    <w:rsid w:val="005F351B"/>
    <w:rsid w:val="005F3F16"/>
    <w:rsid w:val="005F4078"/>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BA5"/>
    <w:rsid w:val="0068218D"/>
    <w:rsid w:val="00682648"/>
    <w:rsid w:val="006828B8"/>
    <w:rsid w:val="006837FF"/>
    <w:rsid w:val="00683A6D"/>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3686"/>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92C"/>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027"/>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3CE5"/>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14E7"/>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36C"/>
    <w:rsid w:val="00AA544F"/>
    <w:rsid w:val="00AA65E4"/>
    <w:rsid w:val="00AA6E63"/>
    <w:rsid w:val="00AB01B4"/>
    <w:rsid w:val="00AB2093"/>
    <w:rsid w:val="00AB24BD"/>
    <w:rsid w:val="00AB2A93"/>
    <w:rsid w:val="00AB3C10"/>
    <w:rsid w:val="00AB4DEF"/>
    <w:rsid w:val="00AB58E2"/>
    <w:rsid w:val="00AB5E5E"/>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0F8"/>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A56"/>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3FA0"/>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6E66"/>
    <w:rsid w:val="00CB71C2"/>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5F9"/>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134"/>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A40"/>
    <w:rsid w:val="00DE2DFD"/>
    <w:rsid w:val="00DE3B43"/>
    <w:rsid w:val="00DE413B"/>
    <w:rsid w:val="00DE4AFC"/>
    <w:rsid w:val="00DE4BB2"/>
    <w:rsid w:val="00DE4CB2"/>
    <w:rsid w:val="00DE4F0D"/>
    <w:rsid w:val="00DE572C"/>
    <w:rsid w:val="00DE5B97"/>
    <w:rsid w:val="00DE6459"/>
    <w:rsid w:val="00DE7ACD"/>
    <w:rsid w:val="00DE7C77"/>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36A"/>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884"/>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9C0"/>
    <w:rsid w:val="00FA0B8A"/>
    <w:rsid w:val="00FA1B64"/>
    <w:rsid w:val="00FA24A8"/>
    <w:rsid w:val="00FA2C70"/>
    <w:rsid w:val="00FA3042"/>
    <w:rsid w:val="00FA3EC1"/>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78394111">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32389788">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68414277">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itutmontaigne.org/publications/leurope-et-la-5g-le-cas-huawei-partie-2" TargetMode="External"/><Relationship Id="rId13" Type="http://schemas.openxmlformats.org/officeDocument/2006/relationships/hyperlink" Target="https://www.chinalawtranslate.com/en/datasecuritymanagement-commentdraf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tc260.org.cn/front/postDetail.html?id=20190528200953" TargetMode="External"/><Relationship Id="rId17" Type="http://schemas.openxmlformats.org/officeDocument/2006/relationships/hyperlink" Target="http://europa.eu/rapid/press-release_STATEMENT-19-2570_en.htm" TargetMode="External"/><Relationship Id="rId2" Type="http://schemas.openxmlformats.org/officeDocument/2006/relationships/numbering" Target="numbering.xml"/><Relationship Id="rId16" Type="http://schemas.openxmlformats.org/officeDocument/2006/relationships/hyperlink" Target="https://ec.europa.eu/digital-single-market/en/news/code-practice-disinformatio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mozilla.org/blog/2019/06/04/firefox-now-available-with-enhanced-tracking-protection-by-default/" TargetMode="External"/><Relationship Id="rId5" Type="http://schemas.openxmlformats.org/officeDocument/2006/relationships/webSettings" Target="webSettings.xml"/><Relationship Id="rId15" Type="http://schemas.openxmlformats.org/officeDocument/2006/relationships/hyperlink" Target="https://www.politico.eu/wp-content/uploads/2019/06/Inquiry-tech-companies-letter.pdf" TargetMode="External"/><Relationship Id="rId23" Type="http://schemas.openxmlformats.org/officeDocument/2006/relationships/theme" Target="theme/theme1.xml"/><Relationship Id="rId10" Type="http://schemas.openxmlformats.org/officeDocument/2006/relationships/hyperlink" Target="https://www.consilium.europa.eu/en/press/press-releases/2019/06/06/council-gives-mandate-to-commission-to-negotiate-international-agreements-on-e-evidence-in-criminal-matters/?utm_source=POLITICO.EU&amp;utm_campaign=298076070d-EMAIL_CAMPAIGN_2019_06_06_04_30&amp;utm_medium=email&amp;utm_term=0_10959edeb5-298076070d-190379937"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uria.europa.eu/jcms/jcms/Jo2_7029/en/" TargetMode="External"/><Relationship Id="rId14" Type="http://schemas.openxmlformats.org/officeDocument/2006/relationships/hyperlink" Target="https://edps.europa.eu/press-publications/press-news/press-releases/2019/press-release-edps-flags-data-protection-issues-eu_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1762B-D100-974D-BF35-DB15044C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1372</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2</cp:revision>
  <cp:lastPrinted>2019-02-15T17:25:00Z</cp:lastPrinted>
  <dcterms:created xsi:type="dcterms:W3CDTF">2019-06-07T13:03:00Z</dcterms:created>
  <dcterms:modified xsi:type="dcterms:W3CDTF">2019-06-07T13:03:00Z</dcterms:modified>
</cp:coreProperties>
</file>