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7A18AC" w14:textId="77777777" w:rsidR="00645943" w:rsidRDefault="00645943" w:rsidP="00645943">
      <w:pPr>
        <w:spacing w:after="200" w:line="280" w:lineRule="exact"/>
        <w:jc w:val="both"/>
        <w:rPr>
          <w:rFonts w:ascii="Hind Light" w:eastAsia="Hind Light" w:hAnsi="Hind Light" w:cs="Hind Light"/>
          <w:color w:val="3A82E4"/>
        </w:rPr>
      </w:pPr>
      <w:bookmarkStart w:id="0" w:name="_Hlk478029639"/>
      <w:bookmarkStart w:id="1" w:name="_Hlk8378360"/>
      <w:r w:rsidRPr="00216CB4">
        <w:rPr>
          <w:rFonts w:ascii="Hind Light" w:eastAsia="Hind Light" w:hAnsi="Hind Light" w:cs="Hind Light"/>
          <w:color w:val="3A82E4"/>
        </w:rPr>
        <w:t>Internet Access</w:t>
      </w:r>
    </w:p>
    <w:p w14:paraId="4B76CF27" w14:textId="6128FDCF" w:rsidR="00C52F58" w:rsidRDefault="00C52F58" w:rsidP="00645943">
      <w:pPr>
        <w:jc w:val="both"/>
        <w:rPr>
          <w:rFonts w:ascii="Hind Light" w:hAnsi="Hind Light" w:cs="Hind Light"/>
          <w:b/>
          <w:sz w:val="20"/>
          <w:szCs w:val="20"/>
          <w:lang w:eastAsia="en-GB"/>
        </w:rPr>
      </w:pPr>
      <w:r>
        <w:rPr>
          <w:rFonts w:ascii="Hind Light" w:hAnsi="Hind Light" w:cs="Hind Light"/>
          <w:b/>
          <w:sz w:val="20"/>
          <w:szCs w:val="20"/>
          <w:lang w:eastAsia="en-GB"/>
        </w:rPr>
        <w:t xml:space="preserve">EU: Wifi4EU programme spreads across the map </w:t>
      </w:r>
    </w:p>
    <w:p w14:paraId="7C9DD991" w14:textId="4550106A" w:rsidR="00C52F58" w:rsidRPr="004E34F4" w:rsidRDefault="00F24B91" w:rsidP="004E34F4">
      <w:pPr>
        <w:pStyle w:val="Paragraphedeliste"/>
        <w:numPr>
          <w:ilvl w:val="0"/>
          <w:numId w:val="6"/>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w:t>
      </w:r>
      <w:proofErr w:type="spellStart"/>
      <w:r>
        <w:rPr>
          <w:rFonts w:ascii="Hind Light" w:hAnsi="Hind Light" w:cs="Hind Light"/>
          <w:bCs/>
          <w:sz w:val="20"/>
          <w:szCs w:val="20"/>
          <w:lang w:eastAsia="en-GB"/>
        </w:rPr>
        <w:t>WiFiEU</w:t>
      </w:r>
      <w:proofErr w:type="spellEnd"/>
      <w:r>
        <w:rPr>
          <w:rFonts w:ascii="Hind Light" w:hAnsi="Hind Light" w:cs="Hind Light"/>
          <w:bCs/>
          <w:sz w:val="20"/>
          <w:szCs w:val="20"/>
          <w:lang w:eastAsia="en-GB"/>
        </w:rPr>
        <w:t xml:space="preserve"> programme</w:t>
      </w:r>
      <w:r w:rsidR="004E34F4">
        <w:rPr>
          <w:rFonts w:ascii="Hind Light" w:hAnsi="Hind Light" w:cs="Hind Light"/>
          <w:bCs/>
          <w:sz w:val="20"/>
          <w:szCs w:val="20"/>
          <w:lang w:eastAsia="en-GB"/>
        </w:rPr>
        <w:t>,</w:t>
      </w:r>
      <w:bookmarkStart w:id="2" w:name="_GoBack"/>
      <w:bookmarkEnd w:id="2"/>
      <w:r>
        <w:rPr>
          <w:rFonts w:ascii="Hind Light" w:hAnsi="Hind Light" w:cs="Hind Light"/>
          <w:bCs/>
          <w:sz w:val="20"/>
          <w:szCs w:val="20"/>
          <w:lang w:eastAsia="en-GB"/>
        </w:rPr>
        <w:t xml:space="preserve"> </w:t>
      </w:r>
      <w:r w:rsidR="004E34F4">
        <w:rPr>
          <w:rFonts w:ascii="Hind Light" w:hAnsi="Hind Light" w:cs="Hind Light"/>
          <w:bCs/>
          <w:sz w:val="20"/>
          <w:szCs w:val="20"/>
          <w:lang w:eastAsia="en-GB"/>
        </w:rPr>
        <w:t xml:space="preserve">i.e. </w:t>
      </w:r>
      <w:r w:rsidRPr="004E34F4">
        <w:rPr>
          <w:rFonts w:ascii="Hind Light" w:hAnsi="Hind Light" w:cs="Hind Light"/>
          <w:bCs/>
          <w:sz w:val="20"/>
          <w:szCs w:val="20"/>
          <w:lang w:eastAsia="en-GB"/>
        </w:rPr>
        <w:t xml:space="preserve">the voucher-based programme funded by the EU to help municipalities finance </w:t>
      </w:r>
      <w:r w:rsidR="00C52F58" w:rsidRPr="004E34F4">
        <w:rPr>
          <w:rFonts w:ascii="Hind Light" w:hAnsi="Hind Light" w:cs="Hind Light"/>
          <w:bCs/>
          <w:sz w:val="20"/>
          <w:szCs w:val="20"/>
          <w:lang w:eastAsia="en-GB"/>
        </w:rPr>
        <w:t xml:space="preserve">free </w:t>
      </w:r>
      <w:r w:rsidRPr="004E34F4">
        <w:rPr>
          <w:rFonts w:ascii="Hind Light" w:hAnsi="Hind Light" w:cs="Hind Light"/>
          <w:bCs/>
          <w:sz w:val="20"/>
          <w:szCs w:val="20"/>
          <w:lang w:eastAsia="en-GB"/>
        </w:rPr>
        <w:t xml:space="preserve">spots </w:t>
      </w:r>
      <w:r w:rsidR="00C52F58" w:rsidRPr="004E34F4">
        <w:rPr>
          <w:rFonts w:ascii="Hind Light" w:hAnsi="Hind Light" w:cs="Hind Light"/>
          <w:bCs/>
          <w:sz w:val="20"/>
          <w:szCs w:val="20"/>
          <w:lang w:eastAsia="en-GB"/>
        </w:rPr>
        <w:t xml:space="preserve">Wi-Fi in public spaces, is now </w:t>
      </w:r>
      <w:hyperlink r:id="rId8" w:history="1">
        <w:r w:rsidR="00C52F58" w:rsidRPr="004E34F4">
          <w:rPr>
            <w:rStyle w:val="Lienhypertexte"/>
            <w:rFonts w:ascii="Hind Light" w:hAnsi="Hind Light" w:cs="Hind Light"/>
            <w:bCs/>
            <w:sz w:val="20"/>
            <w:szCs w:val="20"/>
            <w:lang w:eastAsia="en-GB"/>
          </w:rPr>
          <w:t>spreading</w:t>
        </w:r>
      </w:hyperlink>
      <w:r w:rsidR="00C52F58" w:rsidRPr="004E34F4">
        <w:rPr>
          <w:rFonts w:ascii="Hind Light" w:hAnsi="Hind Light" w:cs="Hind Light"/>
          <w:bCs/>
          <w:sz w:val="20"/>
          <w:szCs w:val="20"/>
          <w:lang w:eastAsia="en-GB"/>
        </w:rPr>
        <w:t xml:space="preserve"> </w:t>
      </w:r>
      <w:r w:rsidRPr="004E34F4">
        <w:rPr>
          <w:rFonts w:ascii="Hind Light" w:hAnsi="Hind Light" w:cs="Hind Light"/>
          <w:bCs/>
          <w:sz w:val="20"/>
          <w:szCs w:val="20"/>
          <w:lang w:eastAsia="en-GB"/>
        </w:rPr>
        <w:t xml:space="preserve">to new parts of the </w:t>
      </w:r>
      <w:r w:rsidR="00C52F58" w:rsidRPr="004E34F4">
        <w:rPr>
          <w:rFonts w:ascii="Hind Light" w:hAnsi="Hind Light" w:cs="Hind Light"/>
          <w:bCs/>
          <w:sz w:val="20"/>
          <w:szCs w:val="20"/>
          <w:lang w:eastAsia="en-GB"/>
        </w:rPr>
        <w:t>EU</w:t>
      </w:r>
      <w:r w:rsidRPr="004E34F4">
        <w:rPr>
          <w:rFonts w:ascii="Hind Light" w:hAnsi="Hind Light" w:cs="Hind Light"/>
          <w:bCs/>
          <w:sz w:val="20"/>
          <w:szCs w:val="20"/>
          <w:lang w:eastAsia="en-GB"/>
        </w:rPr>
        <w:t xml:space="preserve"> and beyond</w:t>
      </w:r>
      <w:r w:rsidR="00C52F58" w:rsidRPr="004E34F4">
        <w:rPr>
          <w:rFonts w:ascii="Hind Light" w:hAnsi="Hind Light" w:cs="Hind Light"/>
          <w:bCs/>
          <w:sz w:val="20"/>
          <w:szCs w:val="20"/>
          <w:lang w:eastAsia="en-GB"/>
        </w:rPr>
        <w:t xml:space="preserve">. </w:t>
      </w:r>
    </w:p>
    <w:p w14:paraId="2074CE1A" w14:textId="4C838775" w:rsidR="009F7143" w:rsidRPr="009F7143" w:rsidRDefault="00C52F58" w:rsidP="00B912D1">
      <w:pPr>
        <w:pStyle w:val="Paragraphedeliste"/>
        <w:numPr>
          <w:ilvl w:val="0"/>
          <w:numId w:val="6"/>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initiative now reaches municipalities from all participating countries </w:t>
      </w:r>
      <w:r w:rsidR="009F7143">
        <w:rPr>
          <w:rFonts w:ascii="Hind Light" w:hAnsi="Hind Light" w:cs="Hind Light"/>
          <w:bCs/>
          <w:sz w:val="20"/>
          <w:szCs w:val="20"/>
          <w:lang w:eastAsia="en-GB"/>
        </w:rPr>
        <w:t xml:space="preserve">such as Spain, France, Italy and Estonia; non-EU countries such as Norway, and </w:t>
      </w:r>
      <w:r>
        <w:rPr>
          <w:rFonts w:ascii="Hind Light" w:hAnsi="Hind Light" w:cs="Hind Light"/>
          <w:bCs/>
          <w:sz w:val="20"/>
          <w:szCs w:val="20"/>
          <w:lang w:eastAsia="en-GB"/>
        </w:rPr>
        <w:t xml:space="preserve">European territories </w:t>
      </w:r>
      <w:r w:rsidR="009F7143">
        <w:rPr>
          <w:rFonts w:ascii="Hind Light" w:hAnsi="Hind Light" w:cs="Hind Light"/>
          <w:bCs/>
          <w:sz w:val="20"/>
          <w:szCs w:val="20"/>
          <w:lang w:eastAsia="en-GB"/>
        </w:rPr>
        <w:t xml:space="preserve">like </w:t>
      </w:r>
      <w:r w:rsidR="00F24B91">
        <w:rPr>
          <w:rFonts w:ascii="Hind Light" w:hAnsi="Hind Light" w:cs="Hind Light"/>
          <w:bCs/>
          <w:sz w:val="20"/>
          <w:szCs w:val="20"/>
          <w:lang w:eastAsia="en-GB"/>
        </w:rPr>
        <w:t xml:space="preserve">France’s </w:t>
      </w:r>
      <w:r w:rsidR="009F7143">
        <w:rPr>
          <w:rFonts w:ascii="Hind Light" w:hAnsi="Hind Light" w:cs="Hind Light"/>
          <w:bCs/>
          <w:sz w:val="20"/>
          <w:szCs w:val="20"/>
          <w:lang w:eastAsia="en-GB"/>
        </w:rPr>
        <w:t xml:space="preserve">Guadeloupe </w:t>
      </w:r>
      <w:r w:rsidR="00F24B91">
        <w:rPr>
          <w:rFonts w:ascii="Hind Light" w:hAnsi="Hind Light" w:cs="Hind Light"/>
          <w:bCs/>
          <w:sz w:val="20"/>
          <w:szCs w:val="20"/>
          <w:lang w:eastAsia="en-GB"/>
        </w:rPr>
        <w:t>and</w:t>
      </w:r>
      <w:r w:rsidR="009F7143">
        <w:rPr>
          <w:rFonts w:ascii="Hind Light" w:hAnsi="Hind Light" w:cs="Hind Light"/>
          <w:bCs/>
          <w:sz w:val="20"/>
          <w:szCs w:val="20"/>
          <w:lang w:eastAsia="en-GB"/>
        </w:rPr>
        <w:t xml:space="preserve"> La Réunion</w:t>
      </w:r>
      <w:r>
        <w:rPr>
          <w:rFonts w:ascii="Hind Light" w:hAnsi="Hind Light" w:cs="Hind Light"/>
          <w:bCs/>
          <w:sz w:val="20"/>
          <w:szCs w:val="20"/>
          <w:lang w:eastAsia="en-GB"/>
        </w:rPr>
        <w:t>.</w:t>
      </w:r>
    </w:p>
    <w:p w14:paraId="087AA45B" w14:textId="4816D1A0" w:rsidR="00C52F58" w:rsidRPr="00C52F58" w:rsidRDefault="00C52F58" w:rsidP="00B912D1">
      <w:pPr>
        <w:pStyle w:val="Paragraphedeliste"/>
        <w:numPr>
          <w:ilvl w:val="0"/>
          <w:numId w:val="6"/>
        </w:numPr>
        <w:jc w:val="both"/>
        <w:rPr>
          <w:rFonts w:ascii="Hind Light" w:hAnsi="Hind Light" w:cs="Hind Light"/>
          <w:b/>
          <w:sz w:val="20"/>
          <w:szCs w:val="20"/>
          <w:lang w:eastAsia="en-GB"/>
        </w:rPr>
      </w:pPr>
      <w:r>
        <w:rPr>
          <w:rFonts w:ascii="Hind Light" w:hAnsi="Hind Light" w:cs="Hind Light"/>
          <w:bCs/>
          <w:sz w:val="20"/>
          <w:szCs w:val="20"/>
          <w:lang w:eastAsia="en-GB"/>
        </w:rPr>
        <w:t xml:space="preserve"> </w:t>
      </w:r>
      <w:r w:rsidR="009F7143">
        <w:rPr>
          <w:rFonts w:ascii="Hind Light" w:hAnsi="Hind Light" w:cs="Hind Light"/>
          <w:bCs/>
          <w:sz w:val="20"/>
          <w:szCs w:val="20"/>
          <w:lang w:eastAsia="en-GB"/>
        </w:rPr>
        <w:t xml:space="preserve">The </w:t>
      </w:r>
      <w:hyperlink r:id="rId9" w:anchor="/home" w:history="1">
        <w:r w:rsidR="009F7143" w:rsidRPr="009F7143">
          <w:rPr>
            <w:rStyle w:val="Lienhypertexte"/>
            <w:rFonts w:ascii="Hind Light" w:hAnsi="Hind Light" w:cs="Hind Light"/>
            <w:bCs/>
            <w:sz w:val="20"/>
            <w:szCs w:val="20"/>
            <w:lang w:eastAsia="en-GB"/>
          </w:rPr>
          <w:t>budget</w:t>
        </w:r>
      </w:hyperlink>
      <w:r w:rsidR="009F7143">
        <w:rPr>
          <w:rFonts w:ascii="Hind Light" w:hAnsi="Hind Light" w:cs="Hind Light"/>
          <w:bCs/>
          <w:sz w:val="20"/>
          <w:szCs w:val="20"/>
          <w:lang w:eastAsia="en-GB"/>
        </w:rPr>
        <w:t xml:space="preserve"> for the initiative comprised €120 million between 2018 and 2020, and supported the installation of state-of-the-art Wi-Fi equipment </w:t>
      </w:r>
      <w:r w:rsidR="004B5016">
        <w:rPr>
          <w:rFonts w:ascii="Hind Light" w:hAnsi="Hind Light" w:cs="Hind Light"/>
          <w:bCs/>
          <w:sz w:val="20"/>
          <w:szCs w:val="20"/>
          <w:lang w:eastAsia="en-GB"/>
        </w:rPr>
        <w:t>in over a thousand towns and villages</w:t>
      </w:r>
      <w:r w:rsidR="009F7143">
        <w:rPr>
          <w:rFonts w:ascii="Hind Light" w:hAnsi="Hind Light" w:cs="Hind Light"/>
          <w:bCs/>
          <w:sz w:val="20"/>
          <w:szCs w:val="20"/>
          <w:lang w:eastAsia="en-GB"/>
        </w:rPr>
        <w:t xml:space="preserve">. </w:t>
      </w:r>
    </w:p>
    <w:p w14:paraId="1ED5559C" w14:textId="77777777" w:rsidR="00C52F58" w:rsidRDefault="00C52F58" w:rsidP="00645943">
      <w:pPr>
        <w:jc w:val="both"/>
        <w:rPr>
          <w:rFonts w:ascii="Hind Light" w:hAnsi="Hind Light" w:cs="Hind Light"/>
          <w:b/>
          <w:sz w:val="20"/>
          <w:szCs w:val="20"/>
          <w:lang w:eastAsia="en-GB"/>
        </w:rPr>
      </w:pPr>
    </w:p>
    <w:p w14:paraId="2B114B4A" w14:textId="74285CA3" w:rsidR="00645943" w:rsidRDefault="00645943" w:rsidP="00645943">
      <w:pPr>
        <w:jc w:val="both"/>
        <w:rPr>
          <w:rFonts w:ascii="Hind Light" w:hAnsi="Hind Light" w:cs="Hind Light"/>
          <w:b/>
          <w:sz w:val="20"/>
          <w:szCs w:val="20"/>
          <w:lang w:eastAsia="en-GB"/>
        </w:rPr>
      </w:pPr>
      <w:r>
        <w:rPr>
          <w:rFonts w:ascii="Hind Light" w:hAnsi="Hind Light" w:cs="Hind Light"/>
          <w:b/>
          <w:sz w:val="20"/>
          <w:szCs w:val="20"/>
          <w:lang w:eastAsia="en-GB"/>
        </w:rPr>
        <w:t>G</w:t>
      </w:r>
      <w:r w:rsidR="0061186E">
        <w:rPr>
          <w:rFonts w:ascii="Hind Light" w:hAnsi="Hind Light" w:cs="Hind Light"/>
          <w:b/>
          <w:sz w:val="20"/>
          <w:szCs w:val="20"/>
          <w:lang w:eastAsia="en-GB"/>
        </w:rPr>
        <w:t>ermany</w:t>
      </w:r>
      <w:r>
        <w:rPr>
          <w:rFonts w:ascii="Hind Light" w:hAnsi="Hind Light" w:cs="Hind Light"/>
          <w:b/>
          <w:sz w:val="20"/>
          <w:szCs w:val="20"/>
          <w:lang w:eastAsia="en-GB"/>
        </w:rPr>
        <w:t xml:space="preserve">: </w:t>
      </w:r>
      <w:r w:rsidR="0061186E">
        <w:rPr>
          <w:rFonts w:ascii="Hind Light" w:hAnsi="Hind Light" w:cs="Hind Light"/>
          <w:b/>
          <w:sz w:val="20"/>
          <w:szCs w:val="20"/>
          <w:lang w:eastAsia="en-GB"/>
        </w:rPr>
        <w:t>Spending on AI to grow by €500 million this year</w:t>
      </w:r>
    </w:p>
    <w:p w14:paraId="2A4C0C00" w14:textId="5F3FA26C" w:rsidR="0061186E" w:rsidRPr="0061186E" w:rsidRDefault="0061186E" w:rsidP="00B912D1">
      <w:pPr>
        <w:pStyle w:val="Paragraphedeliste"/>
        <w:numPr>
          <w:ilvl w:val="0"/>
          <w:numId w:val="4"/>
        </w:numPr>
        <w:jc w:val="both"/>
        <w:rPr>
          <w:rFonts w:ascii="Hind Light" w:hAnsi="Hind Light" w:cs="Hind Light"/>
          <w:b/>
          <w:sz w:val="20"/>
          <w:szCs w:val="20"/>
          <w:lang w:eastAsia="en-GB"/>
        </w:rPr>
      </w:pPr>
      <w:r>
        <w:rPr>
          <w:rFonts w:ascii="Hind Light" w:hAnsi="Hind Light" w:cs="Hind Light"/>
          <w:bCs/>
          <w:sz w:val="20"/>
          <w:szCs w:val="20"/>
          <w:lang w:eastAsia="en-GB"/>
        </w:rPr>
        <w:t xml:space="preserve">Germany </w:t>
      </w:r>
      <w:hyperlink r:id="rId10" w:history="1">
        <w:r w:rsidRPr="0061186E">
          <w:rPr>
            <w:rStyle w:val="Lienhypertexte"/>
            <w:rFonts w:ascii="Hind Light" w:hAnsi="Hind Light" w:cs="Hind Light"/>
            <w:bCs/>
            <w:sz w:val="20"/>
            <w:szCs w:val="20"/>
            <w:lang w:eastAsia="en-GB"/>
          </w:rPr>
          <w:t>announced</w:t>
        </w:r>
      </w:hyperlink>
      <w:r>
        <w:rPr>
          <w:rFonts w:ascii="Hind Light" w:hAnsi="Hind Light" w:cs="Hind Light"/>
          <w:bCs/>
          <w:sz w:val="20"/>
          <w:szCs w:val="20"/>
          <w:lang w:eastAsia="en-GB"/>
        </w:rPr>
        <w:t xml:space="preserve"> </w:t>
      </w:r>
      <w:r w:rsidR="004B5016">
        <w:rPr>
          <w:rFonts w:ascii="Hind Light" w:hAnsi="Hind Light" w:cs="Hind Light"/>
          <w:bCs/>
          <w:sz w:val="20"/>
          <w:szCs w:val="20"/>
          <w:lang w:eastAsia="en-GB"/>
        </w:rPr>
        <w:t xml:space="preserve">this week that </w:t>
      </w:r>
      <w:r>
        <w:rPr>
          <w:rFonts w:ascii="Hind Light" w:hAnsi="Hind Light" w:cs="Hind Light"/>
          <w:bCs/>
          <w:sz w:val="20"/>
          <w:szCs w:val="20"/>
          <w:lang w:eastAsia="en-GB"/>
        </w:rPr>
        <w:t>it will spend an additional €500 million on AI in 2019, most of which will go to research</w:t>
      </w:r>
      <w:r w:rsidR="004B5016">
        <w:rPr>
          <w:rFonts w:ascii="Hind Light" w:hAnsi="Hind Light" w:cs="Hind Light"/>
          <w:bCs/>
          <w:sz w:val="20"/>
          <w:szCs w:val="20"/>
          <w:lang w:eastAsia="en-GB"/>
        </w:rPr>
        <w:t xml:space="preserve"> and a considerable increase from the original</w:t>
      </w:r>
      <w:r>
        <w:rPr>
          <w:rFonts w:ascii="Hind Light" w:hAnsi="Hind Light" w:cs="Hind Light"/>
          <w:bCs/>
          <w:sz w:val="20"/>
          <w:szCs w:val="20"/>
          <w:lang w:eastAsia="en-GB"/>
        </w:rPr>
        <w:t xml:space="preserve"> </w:t>
      </w:r>
      <w:r w:rsidR="004B5016">
        <w:rPr>
          <w:rFonts w:ascii="Hind Light" w:hAnsi="Hind Light" w:cs="Hind Light"/>
          <w:bCs/>
          <w:sz w:val="20"/>
          <w:szCs w:val="20"/>
          <w:lang w:eastAsia="en-GB"/>
        </w:rPr>
        <w:t xml:space="preserve">proposal of </w:t>
      </w:r>
      <w:r>
        <w:rPr>
          <w:rFonts w:ascii="Hind Light" w:hAnsi="Hind Light" w:cs="Hind Light"/>
          <w:bCs/>
          <w:sz w:val="20"/>
          <w:szCs w:val="20"/>
          <w:lang w:eastAsia="en-GB"/>
        </w:rPr>
        <w:t>€142 million</w:t>
      </w:r>
      <w:r w:rsidR="004B5016">
        <w:rPr>
          <w:rFonts w:ascii="Hind Light" w:hAnsi="Hind Light" w:cs="Hind Light"/>
          <w:bCs/>
          <w:sz w:val="20"/>
          <w:szCs w:val="20"/>
          <w:lang w:eastAsia="en-GB"/>
        </w:rPr>
        <w:t xml:space="preserve"> for AI</w:t>
      </w:r>
      <w:r>
        <w:rPr>
          <w:rFonts w:ascii="Hind Light" w:hAnsi="Hind Light" w:cs="Hind Light"/>
          <w:bCs/>
          <w:sz w:val="20"/>
          <w:szCs w:val="20"/>
          <w:lang w:eastAsia="en-GB"/>
        </w:rPr>
        <w:t xml:space="preserve">. </w:t>
      </w:r>
    </w:p>
    <w:p w14:paraId="365F3529" w14:textId="4809FF87" w:rsidR="0061186E" w:rsidRPr="0061186E" w:rsidRDefault="0061186E" w:rsidP="00B912D1">
      <w:pPr>
        <w:pStyle w:val="Paragraphedeliste"/>
        <w:numPr>
          <w:ilvl w:val="0"/>
          <w:numId w:val="4"/>
        </w:numPr>
        <w:jc w:val="both"/>
        <w:rPr>
          <w:rFonts w:ascii="Hind Light" w:hAnsi="Hind Light" w:cs="Hind Light"/>
          <w:b/>
          <w:sz w:val="20"/>
          <w:szCs w:val="20"/>
          <w:lang w:eastAsia="en-GB"/>
        </w:rPr>
      </w:pPr>
      <w:r>
        <w:rPr>
          <w:rFonts w:ascii="Hind Light" w:hAnsi="Hind Light" w:cs="Hind Light"/>
          <w:bCs/>
          <w:sz w:val="20"/>
          <w:szCs w:val="20"/>
          <w:lang w:eastAsia="en-GB"/>
        </w:rPr>
        <w:t xml:space="preserve">In November 2018, the German national strategy on AI was published, with a pledge to spend €3bn by 2025. Around half of the extra investment (€230m) is meant to ensure </w:t>
      </w:r>
      <w:r w:rsidR="00F040BE">
        <w:rPr>
          <w:rFonts w:ascii="Hind Light" w:hAnsi="Hind Light" w:cs="Hind Light"/>
          <w:bCs/>
          <w:sz w:val="20"/>
          <w:szCs w:val="20"/>
          <w:lang w:eastAsia="en-GB"/>
        </w:rPr>
        <w:t xml:space="preserve">scientific applications become </w:t>
      </w:r>
      <w:r>
        <w:rPr>
          <w:rFonts w:ascii="Hind Light" w:hAnsi="Hind Light" w:cs="Hind Light"/>
          <w:bCs/>
          <w:sz w:val="20"/>
          <w:szCs w:val="20"/>
          <w:lang w:eastAsia="en-GB"/>
        </w:rPr>
        <w:t xml:space="preserve">market-ready quicker, for example by providing research and developers with better access to data. </w:t>
      </w:r>
    </w:p>
    <w:p w14:paraId="0FEDD095" w14:textId="5B398A8C" w:rsidR="0061186E" w:rsidRPr="0061186E" w:rsidRDefault="0061186E" w:rsidP="00B912D1">
      <w:pPr>
        <w:pStyle w:val="Paragraphedeliste"/>
        <w:numPr>
          <w:ilvl w:val="0"/>
          <w:numId w:val="4"/>
        </w:numPr>
        <w:jc w:val="both"/>
        <w:rPr>
          <w:rFonts w:ascii="Hind Light" w:hAnsi="Hind Light" w:cs="Hind Light"/>
          <w:b/>
          <w:sz w:val="20"/>
          <w:szCs w:val="20"/>
          <w:lang w:eastAsia="en-GB"/>
        </w:rPr>
      </w:pPr>
      <w:r>
        <w:rPr>
          <w:rFonts w:ascii="Hind Light" w:hAnsi="Hind Light" w:cs="Hind Light"/>
          <w:bCs/>
          <w:sz w:val="20"/>
          <w:szCs w:val="20"/>
          <w:lang w:eastAsia="en-GB"/>
        </w:rPr>
        <w:t>German Minister of Economy Peter Altmaier commented</w:t>
      </w:r>
      <w:r w:rsidR="00F040BE">
        <w:rPr>
          <w:rFonts w:ascii="Hind Light" w:hAnsi="Hind Light" w:cs="Hind Light"/>
          <w:bCs/>
          <w:sz w:val="20"/>
          <w:szCs w:val="20"/>
          <w:lang w:eastAsia="en-GB"/>
        </w:rPr>
        <w:t xml:space="preserve"> on the need for speed, saying that</w:t>
      </w:r>
      <w:r>
        <w:rPr>
          <w:rFonts w:ascii="Hind Light" w:hAnsi="Hind Light" w:cs="Hind Light"/>
          <w:bCs/>
          <w:sz w:val="20"/>
          <w:szCs w:val="20"/>
          <w:lang w:eastAsia="en-GB"/>
        </w:rPr>
        <w:t xml:space="preserve"> “</w:t>
      </w:r>
      <w:r w:rsidR="00F040BE">
        <w:rPr>
          <w:rFonts w:ascii="Hind Light" w:hAnsi="Hind Light" w:cs="Hind Light"/>
          <w:bCs/>
          <w:sz w:val="20"/>
          <w:szCs w:val="20"/>
          <w:lang w:eastAsia="en-GB"/>
        </w:rPr>
        <w:t>w</w:t>
      </w:r>
      <w:r>
        <w:rPr>
          <w:rFonts w:ascii="Hind Light" w:hAnsi="Hind Light" w:cs="Hind Light"/>
          <w:bCs/>
          <w:sz w:val="20"/>
          <w:szCs w:val="20"/>
          <w:lang w:eastAsia="en-GB"/>
        </w:rPr>
        <w:t xml:space="preserve">hen it comes to AI, we have to be faster at moving from research to application”. </w:t>
      </w:r>
    </w:p>
    <w:p w14:paraId="79678BD8" w14:textId="12D39F34" w:rsidR="0061186E" w:rsidRPr="0061186E" w:rsidRDefault="0061186E" w:rsidP="00B912D1">
      <w:pPr>
        <w:pStyle w:val="Paragraphedeliste"/>
        <w:numPr>
          <w:ilvl w:val="0"/>
          <w:numId w:val="4"/>
        </w:numPr>
        <w:jc w:val="both"/>
        <w:rPr>
          <w:rFonts w:ascii="Hind Light" w:hAnsi="Hind Light" w:cs="Hind Light"/>
          <w:b/>
          <w:sz w:val="20"/>
          <w:szCs w:val="20"/>
          <w:lang w:eastAsia="en-GB"/>
        </w:rPr>
      </w:pPr>
      <w:r>
        <w:rPr>
          <w:rFonts w:ascii="Hind Light" w:hAnsi="Hind Light" w:cs="Hind Light"/>
          <w:bCs/>
          <w:sz w:val="20"/>
          <w:szCs w:val="20"/>
          <w:lang w:eastAsia="en-GB"/>
        </w:rPr>
        <w:t xml:space="preserve">Some of the funds will also go to reskill the workforce. “It’s crucial that SMEs can use and apply AI”, said Altmaier. </w:t>
      </w:r>
    </w:p>
    <w:p w14:paraId="507FD8F2" w14:textId="77777777" w:rsidR="00090517" w:rsidRPr="00090517" w:rsidRDefault="00090517" w:rsidP="00090517">
      <w:pPr>
        <w:jc w:val="both"/>
        <w:rPr>
          <w:rFonts w:ascii="Hind Light" w:hAnsi="Hind Light" w:cs="Hind Light"/>
          <w:b/>
          <w:sz w:val="20"/>
          <w:szCs w:val="20"/>
          <w:lang w:eastAsia="en-GB"/>
        </w:rPr>
      </w:pPr>
    </w:p>
    <w:p w14:paraId="001EB1BA" w14:textId="0D45B2FC" w:rsidR="00B113EB" w:rsidRPr="00027639" w:rsidRDefault="0094598F" w:rsidP="00607788">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p>
    <w:p w14:paraId="2A3D32C3" w14:textId="7C524F7A" w:rsidR="00F040BE" w:rsidRDefault="00F040BE" w:rsidP="00F040BE">
      <w:pPr>
        <w:jc w:val="both"/>
        <w:rPr>
          <w:rFonts w:ascii="Hind Light" w:hAnsi="Hind Light" w:cs="Hind Light"/>
          <w:b/>
          <w:sz w:val="20"/>
          <w:szCs w:val="20"/>
          <w:lang w:eastAsia="en-GB"/>
        </w:rPr>
      </w:pPr>
      <w:r>
        <w:rPr>
          <w:rFonts w:ascii="Hind Light" w:hAnsi="Hind Light" w:cs="Hind Light"/>
          <w:b/>
          <w:sz w:val="20"/>
          <w:szCs w:val="20"/>
          <w:lang w:eastAsia="en-GB"/>
        </w:rPr>
        <w:t xml:space="preserve">Global: </w:t>
      </w:r>
      <w:r w:rsidR="00234E7A">
        <w:rPr>
          <w:rFonts w:ascii="Hind Light" w:hAnsi="Hind Light" w:cs="Hind Light"/>
          <w:b/>
          <w:sz w:val="20"/>
          <w:szCs w:val="20"/>
          <w:lang w:eastAsia="en-GB"/>
        </w:rPr>
        <w:t>WEF launches new network for global technology governance</w:t>
      </w:r>
    </w:p>
    <w:p w14:paraId="1BF4AA9C" w14:textId="46A8E725" w:rsidR="00234E7A" w:rsidRPr="00234E7A" w:rsidRDefault="00234E7A" w:rsidP="00234E7A">
      <w:pPr>
        <w:pStyle w:val="Paragraphedeliste"/>
        <w:numPr>
          <w:ilvl w:val="0"/>
          <w:numId w:val="9"/>
        </w:numPr>
        <w:jc w:val="both"/>
        <w:rPr>
          <w:rFonts w:ascii="Hind Light" w:hAnsi="Hind Light" w:cs="Hind Light"/>
          <w:bCs/>
          <w:sz w:val="20"/>
          <w:szCs w:val="20"/>
          <w:lang w:eastAsia="en-GB"/>
        </w:rPr>
      </w:pPr>
      <w:r w:rsidRPr="00234E7A">
        <w:rPr>
          <w:rFonts w:ascii="Hind Light" w:hAnsi="Hind Light" w:cs="Hind Light"/>
          <w:bCs/>
          <w:sz w:val="20"/>
          <w:szCs w:val="20"/>
          <w:lang w:eastAsia="en-GB"/>
        </w:rPr>
        <w:t xml:space="preserve">The World Economic Forum’s Centre for the Fourth Industrial Revolution Network, </w:t>
      </w:r>
      <w:hyperlink r:id="rId11" w:history="1">
        <w:r w:rsidRPr="00BA1343">
          <w:rPr>
            <w:rStyle w:val="Lienhypertexte"/>
            <w:rFonts w:ascii="Hind Light" w:hAnsi="Hind Light" w:cs="Hind Light"/>
            <w:bCs/>
            <w:sz w:val="20"/>
            <w:szCs w:val="20"/>
            <w:lang w:eastAsia="en-GB"/>
          </w:rPr>
          <w:t>launched</w:t>
        </w:r>
      </w:hyperlink>
      <w:r w:rsidRPr="00234E7A">
        <w:rPr>
          <w:rFonts w:ascii="Hind Light" w:hAnsi="Hind Light" w:cs="Hind Light"/>
          <w:bCs/>
          <w:sz w:val="20"/>
          <w:szCs w:val="20"/>
          <w:lang w:eastAsia="en-GB"/>
        </w:rPr>
        <w:t xml:space="preserve"> on the May 29 from its San Francisco headquarters</w:t>
      </w:r>
      <w:r w:rsidR="00BA1343">
        <w:rPr>
          <w:rFonts w:ascii="Hind Light" w:hAnsi="Hind Light" w:cs="Hind Light"/>
          <w:bCs/>
          <w:sz w:val="20"/>
          <w:szCs w:val="20"/>
          <w:lang w:eastAsia="en-GB"/>
        </w:rPr>
        <w:t xml:space="preserve"> </w:t>
      </w:r>
      <w:r w:rsidRPr="00234E7A">
        <w:rPr>
          <w:rFonts w:ascii="Hind Light" w:hAnsi="Hind Light" w:cs="Hind Light"/>
          <w:bCs/>
          <w:sz w:val="20"/>
          <w:szCs w:val="20"/>
          <w:lang w:eastAsia="en-GB"/>
        </w:rPr>
        <w:t>six councils to help design how emerging technologies can be governed for the benefit of society.</w:t>
      </w:r>
    </w:p>
    <w:p w14:paraId="5D6B5D8C" w14:textId="6AA95F46" w:rsidR="00234E7A" w:rsidRPr="00234E7A" w:rsidRDefault="00234E7A" w:rsidP="00234E7A">
      <w:pPr>
        <w:pStyle w:val="Paragraphedeliste"/>
        <w:numPr>
          <w:ilvl w:val="0"/>
          <w:numId w:val="9"/>
        </w:numPr>
        <w:jc w:val="both"/>
        <w:rPr>
          <w:rFonts w:ascii="Hind Light" w:hAnsi="Hind Light" w:cs="Hind Light"/>
          <w:bCs/>
          <w:sz w:val="20"/>
          <w:szCs w:val="20"/>
          <w:lang w:eastAsia="en-GB"/>
        </w:rPr>
      </w:pPr>
      <w:r w:rsidRPr="00234E7A">
        <w:rPr>
          <w:rFonts w:ascii="Hind Light" w:hAnsi="Hind Light" w:cs="Hind Light"/>
          <w:bCs/>
          <w:sz w:val="20"/>
          <w:szCs w:val="20"/>
          <w:lang w:eastAsia="en-GB"/>
        </w:rPr>
        <w:t>The councils</w:t>
      </w:r>
      <w:r w:rsidR="00BA1343">
        <w:rPr>
          <w:rFonts w:ascii="Hind Light" w:hAnsi="Hind Light" w:cs="Hind Light"/>
          <w:bCs/>
          <w:sz w:val="20"/>
          <w:szCs w:val="20"/>
          <w:lang w:eastAsia="en-GB"/>
        </w:rPr>
        <w:t xml:space="preserve"> cover Artificial Intelligence</w:t>
      </w:r>
      <w:r w:rsidR="004B5016">
        <w:rPr>
          <w:rFonts w:ascii="Hind Light" w:hAnsi="Hind Light" w:cs="Hind Light"/>
          <w:bCs/>
          <w:sz w:val="20"/>
          <w:szCs w:val="20"/>
          <w:lang w:eastAsia="en-GB"/>
        </w:rPr>
        <w:t xml:space="preserve"> (AI)</w:t>
      </w:r>
      <w:r w:rsidR="00BA1343">
        <w:rPr>
          <w:rFonts w:ascii="Hind Light" w:hAnsi="Hind Light" w:cs="Hind Light"/>
          <w:bCs/>
          <w:sz w:val="20"/>
          <w:szCs w:val="20"/>
          <w:lang w:eastAsia="en-GB"/>
        </w:rPr>
        <w:t>, autonomous mobility, blockchain, drones, precision medicine and the Internet of Things</w:t>
      </w:r>
      <w:r w:rsidR="004B5016">
        <w:rPr>
          <w:rFonts w:ascii="Hind Light" w:hAnsi="Hind Light" w:cs="Hind Light"/>
          <w:bCs/>
          <w:sz w:val="20"/>
          <w:szCs w:val="20"/>
          <w:lang w:eastAsia="en-GB"/>
        </w:rPr>
        <w:t xml:space="preserve"> (IoT)</w:t>
      </w:r>
      <w:r w:rsidR="00BA1343">
        <w:rPr>
          <w:rFonts w:ascii="Hind Light" w:hAnsi="Hind Light" w:cs="Hind Light"/>
          <w:bCs/>
          <w:sz w:val="20"/>
          <w:szCs w:val="20"/>
          <w:lang w:eastAsia="en-GB"/>
        </w:rPr>
        <w:t>,</w:t>
      </w:r>
      <w:r w:rsidR="004B5016">
        <w:rPr>
          <w:rFonts w:ascii="Hind Light" w:hAnsi="Hind Light" w:cs="Hind Light"/>
          <w:bCs/>
          <w:sz w:val="20"/>
          <w:szCs w:val="20"/>
          <w:lang w:eastAsia="en-GB"/>
        </w:rPr>
        <w:t xml:space="preserve"> and</w:t>
      </w:r>
      <w:r w:rsidR="00BA1343">
        <w:rPr>
          <w:rFonts w:ascii="Hind Light" w:hAnsi="Hind Light" w:cs="Hind Light"/>
          <w:bCs/>
          <w:sz w:val="20"/>
          <w:szCs w:val="20"/>
          <w:lang w:eastAsia="en-GB"/>
        </w:rPr>
        <w:t xml:space="preserve"> </w:t>
      </w:r>
      <w:r w:rsidRPr="00234E7A">
        <w:rPr>
          <w:rFonts w:ascii="Hind Light" w:hAnsi="Hind Light" w:cs="Hind Light"/>
          <w:bCs/>
          <w:sz w:val="20"/>
          <w:szCs w:val="20"/>
          <w:lang w:eastAsia="en-GB"/>
        </w:rPr>
        <w:t>will include top decision-makers and experts from the public and private sectors, civil society and academia, including leaders from the Chinese Academy of Medical Sciences, Dana-Farber, the European Commission, Microsoft, Qualcomm, Uber and the World Bank.</w:t>
      </w:r>
    </w:p>
    <w:p w14:paraId="292F84DA" w14:textId="39E20F99" w:rsidR="00234E7A" w:rsidRPr="00234E7A" w:rsidRDefault="00234E7A" w:rsidP="00234E7A">
      <w:pPr>
        <w:pStyle w:val="Paragraphedeliste"/>
        <w:numPr>
          <w:ilvl w:val="0"/>
          <w:numId w:val="9"/>
        </w:numPr>
        <w:jc w:val="both"/>
        <w:rPr>
          <w:rFonts w:ascii="Hind Light" w:hAnsi="Hind Light" w:cs="Hind Light"/>
          <w:bCs/>
          <w:sz w:val="20"/>
          <w:szCs w:val="20"/>
          <w:lang w:eastAsia="en-GB"/>
        </w:rPr>
      </w:pPr>
      <w:r w:rsidRPr="00234E7A">
        <w:rPr>
          <w:rFonts w:ascii="Hind Light" w:hAnsi="Hind Light" w:cs="Hind Light"/>
          <w:bCs/>
          <w:sz w:val="20"/>
          <w:szCs w:val="20"/>
          <w:lang w:eastAsia="en-GB"/>
        </w:rPr>
        <w:lastRenderedPageBreak/>
        <w:t xml:space="preserve">Their work will lead up to a major global summit on technology governance in April 2020. </w:t>
      </w:r>
    </w:p>
    <w:p w14:paraId="307D35B4" w14:textId="77777777" w:rsidR="00234E7A" w:rsidRPr="00234E7A" w:rsidRDefault="00234E7A" w:rsidP="00234E7A">
      <w:pPr>
        <w:jc w:val="both"/>
        <w:rPr>
          <w:rFonts w:ascii="Hind Light" w:hAnsi="Hind Light" w:cs="Hind Light"/>
          <w:b/>
          <w:sz w:val="20"/>
          <w:szCs w:val="20"/>
          <w:lang w:eastAsia="en-GB"/>
        </w:rPr>
      </w:pPr>
    </w:p>
    <w:p w14:paraId="1B43CF5B" w14:textId="5A39BADC" w:rsidR="00FC0C1B" w:rsidRDefault="00DA111E" w:rsidP="00601AF8">
      <w:pPr>
        <w:jc w:val="both"/>
        <w:rPr>
          <w:rFonts w:ascii="Hind Light" w:hAnsi="Hind Light" w:cs="Hind Light"/>
          <w:b/>
          <w:sz w:val="20"/>
          <w:szCs w:val="20"/>
          <w:lang w:eastAsia="en-GB"/>
        </w:rPr>
      </w:pPr>
      <w:r>
        <w:rPr>
          <w:rFonts w:ascii="Hind Light" w:hAnsi="Hind Light" w:cs="Hind Light"/>
          <w:b/>
          <w:sz w:val="20"/>
          <w:szCs w:val="20"/>
          <w:lang w:eastAsia="en-GB"/>
        </w:rPr>
        <w:t xml:space="preserve">Global: </w:t>
      </w:r>
      <w:r w:rsidR="001676F6">
        <w:rPr>
          <w:rFonts w:ascii="Hind Light" w:hAnsi="Hind Light" w:cs="Hind Light"/>
          <w:b/>
          <w:sz w:val="20"/>
          <w:szCs w:val="20"/>
          <w:lang w:eastAsia="en-GB"/>
        </w:rPr>
        <w:t>NATO Secretary General warns of cyber threats</w:t>
      </w:r>
    </w:p>
    <w:p w14:paraId="0527B9FF" w14:textId="06D27213" w:rsidR="001676F6" w:rsidRPr="001676F6" w:rsidRDefault="001676F6" w:rsidP="00B912D1">
      <w:pPr>
        <w:pStyle w:val="Paragraphedeliste"/>
        <w:numPr>
          <w:ilvl w:val="0"/>
          <w:numId w:val="2"/>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NATO Secretary General Jens Stoltenberg last week </w:t>
      </w:r>
      <w:hyperlink r:id="rId12" w:history="1">
        <w:r w:rsidRPr="001676F6">
          <w:rPr>
            <w:rStyle w:val="Lienhypertexte"/>
            <w:rFonts w:ascii="Hind Light" w:hAnsi="Hind Light" w:cs="Hind Light"/>
            <w:bCs/>
            <w:sz w:val="20"/>
            <w:szCs w:val="20"/>
            <w:lang w:eastAsia="en-GB"/>
          </w:rPr>
          <w:t>addressed</w:t>
        </w:r>
      </w:hyperlink>
      <w:r>
        <w:rPr>
          <w:rFonts w:ascii="Hind Light" w:hAnsi="Hind Light" w:cs="Hind Light"/>
          <w:bCs/>
          <w:sz w:val="20"/>
          <w:szCs w:val="20"/>
          <w:lang w:eastAsia="en-GB"/>
        </w:rPr>
        <w:t xml:space="preserve"> an audience at the UK’s National Cybersecurity Centre in London, where he highlighted how technologies are fundamentally changing the nature of warfare. </w:t>
      </w:r>
    </w:p>
    <w:p w14:paraId="7E09D01C" w14:textId="77777777" w:rsidR="001676F6" w:rsidRPr="001676F6" w:rsidRDefault="001676F6" w:rsidP="00B912D1">
      <w:pPr>
        <w:pStyle w:val="Paragraphedeliste"/>
        <w:numPr>
          <w:ilvl w:val="0"/>
          <w:numId w:val="2"/>
        </w:numPr>
        <w:jc w:val="both"/>
        <w:rPr>
          <w:rFonts w:ascii="Hind Light" w:hAnsi="Hind Light" w:cs="Hind Light"/>
          <w:b/>
          <w:sz w:val="20"/>
          <w:szCs w:val="20"/>
          <w:lang w:eastAsia="en-GB"/>
        </w:rPr>
      </w:pPr>
      <w:r>
        <w:rPr>
          <w:rFonts w:ascii="Hind Light" w:hAnsi="Hind Light" w:cs="Hind Light"/>
          <w:bCs/>
          <w:sz w:val="20"/>
          <w:szCs w:val="20"/>
          <w:lang w:eastAsia="en-GB"/>
        </w:rPr>
        <w:t xml:space="preserve">He noted that NATO is adapting by strengthening its capabilities and increasing its resources. </w:t>
      </w:r>
    </w:p>
    <w:p w14:paraId="39359C20" w14:textId="76425DB2" w:rsidR="001676F6" w:rsidRPr="001676F6" w:rsidRDefault="001676F6" w:rsidP="00B912D1">
      <w:pPr>
        <w:pStyle w:val="Paragraphedeliste"/>
        <w:numPr>
          <w:ilvl w:val="0"/>
          <w:numId w:val="2"/>
        </w:numPr>
        <w:jc w:val="both"/>
        <w:rPr>
          <w:rFonts w:ascii="Hind Light" w:hAnsi="Hind Light" w:cs="Hind Light"/>
          <w:b/>
          <w:sz w:val="20"/>
          <w:szCs w:val="20"/>
          <w:lang w:eastAsia="en-GB"/>
        </w:rPr>
      </w:pPr>
      <w:r>
        <w:rPr>
          <w:rFonts w:ascii="Hind Light" w:hAnsi="Hind Light" w:cs="Hind Light"/>
          <w:bCs/>
          <w:sz w:val="20"/>
          <w:szCs w:val="20"/>
          <w:lang w:eastAsia="en-GB"/>
        </w:rPr>
        <w:t>In his view: “For deterrence to have full effect, potential attackers must know that we are not limited to respond in cyberspace when we are attacked in cyber space. We can and will use the full range of capabilities at our disposal”</w:t>
      </w:r>
    </w:p>
    <w:p w14:paraId="47FB8393" w14:textId="1CEEFC1A" w:rsidR="001676F6" w:rsidRDefault="001676F6" w:rsidP="00B912D1">
      <w:pPr>
        <w:pStyle w:val="Paragraphedeliste"/>
        <w:numPr>
          <w:ilvl w:val="0"/>
          <w:numId w:val="2"/>
        </w:numPr>
        <w:jc w:val="both"/>
        <w:rPr>
          <w:rFonts w:ascii="Hind Light" w:hAnsi="Hind Light" w:cs="Hind Light"/>
          <w:bCs/>
          <w:sz w:val="20"/>
          <w:szCs w:val="20"/>
          <w:lang w:eastAsia="en-GB"/>
        </w:rPr>
      </w:pPr>
      <w:r w:rsidRPr="001676F6">
        <w:rPr>
          <w:rFonts w:ascii="Hind Light" w:hAnsi="Hind Light" w:cs="Hind Light"/>
          <w:bCs/>
          <w:sz w:val="20"/>
          <w:szCs w:val="20"/>
          <w:lang w:eastAsia="en-GB"/>
        </w:rPr>
        <w:t xml:space="preserve">Bolstering cyber defences and resilience will be a top priority at the NATO Summit of Allied Heads of State and Government to be held in London in December 2019. </w:t>
      </w:r>
    </w:p>
    <w:p w14:paraId="71CEE091" w14:textId="77777777" w:rsidR="00CF2A25" w:rsidRDefault="00CF2A25" w:rsidP="0061186E">
      <w:pPr>
        <w:jc w:val="both"/>
        <w:rPr>
          <w:rFonts w:ascii="Hind Light" w:hAnsi="Hind Light" w:cs="Hind Light"/>
          <w:b/>
          <w:sz w:val="20"/>
          <w:szCs w:val="20"/>
          <w:lang w:eastAsia="en-GB"/>
        </w:rPr>
      </w:pPr>
    </w:p>
    <w:p w14:paraId="61550DF3" w14:textId="77777777" w:rsidR="00CF2A25" w:rsidRDefault="00CF2A25" w:rsidP="0061186E">
      <w:pPr>
        <w:jc w:val="both"/>
        <w:rPr>
          <w:rFonts w:ascii="Hind Light" w:hAnsi="Hind Light" w:cs="Hind Light"/>
          <w:b/>
          <w:sz w:val="20"/>
          <w:szCs w:val="20"/>
          <w:lang w:eastAsia="en-GB"/>
        </w:rPr>
      </w:pPr>
      <w:r>
        <w:rPr>
          <w:rFonts w:ascii="Hind Light" w:hAnsi="Hind Light" w:cs="Hind Light"/>
          <w:b/>
          <w:sz w:val="20"/>
          <w:szCs w:val="20"/>
          <w:lang w:eastAsia="en-GB"/>
        </w:rPr>
        <w:t>EU: Finland establishes data and cybersecurity amongst its priorities</w:t>
      </w:r>
    </w:p>
    <w:p w14:paraId="174A30C3" w14:textId="7759CCF6" w:rsidR="0061186E" w:rsidRPr="00CF2A25" w:rsidRDefault="00CF2A25" w:rsidP="00B912D1">
      <w:pPr>
        <w:pStyle w:val="Paragraphedeliste"/>
        <w:numPr>
          <w:ilvl w:val="0"/>
          <w:numId w:val="8"/>
        </w:numPr>
        <w:jc w:val="both"/>
        <w:rPr>
          <w:rFonts w:ascii="Hind Light" w:hAnsi="Hind Light" w:cs="Hind Light"/>
          <w:b/>
          <w:sz w:val="20"/>
          <w:szCs w:val="20"/>
          <w:lang w:eastAsia="en-GB"/>
        </w:rPr>
      </w:pPr>
      <w:r>
        <w:rPr>
          <w:rFonts w:ascii="Hind Light" w:hAnsi="Hind Light" w:cs="Hind Light"/>
          <w:bCs/>
          <w:sz w:val="20"/>
          <w:szCs w:val="20"/>
          <w:lang w:eastAsia="en-GB"/>
        </w:rPr>
        <w:t>Finland</w:t>
      </w:r>
      <w:r w:rsidR="00F24B91">
        <w:rPr>
          <w:rFonts w:ascii="Hind Light" w:hAnsi="Hind Light" w:cs="Hind Light"/>
          <w:bCs/>
          <w:sz w:val="20"/>
          <w:szCs w:val="20"/>
          <w:lang w:eastAsia="en-GB"/>
        </w:rPr>
        <w:t xml:space="preserve">’s government, which will take over </w:t>
      </w:r>
      <w:r>
        <w:rPr>
          <w:rFonts w:ascii="Hind Light" w:hAnsi="Hind Light" w:cs="Hind Light"/>
          <w:bCs/>
          <w:sz w:val="20"/>
          <w:szCs w:val="20"/>
          <w:lang w:eastAsia="en-GB"/>
        </w:rPr>
        <w:t xml:space="preserve">the </w:t>
      </w:r>
      <w:r w:rsidR="00F24B91">
        <w:rPr>
          <w:rFonts w:ascii="Hind Light" w:hAnsi="Hind Light" w:cs="Hind Light"/>
          <w:bCs/>
          <w:sz w:val="20"/>
          <w:szCs w:val="20"/>
          <w:lang w:eastAsia="en-GB"/>
        </w:rPr>
        <w:t xml:space="preserve">rotating </w:t>
      </w:r>
      <w:r>
        <w:rPr>
          <w:rFonts w:ascii="Hind Light" w:hAnsi="Hind Light" w:cs="Hind Light"/>
          <w:bCs/>
          <w:sz w:val="20"/>
          <w:szCs w:val="20"/>
          <w:lang w:eastAsia="en-GB"/>
        </w:rPr>
        <w:t xml:space="preserve">Presidency of the Council </w:t>
      </w:r>
      <w:r w:rsidR="00F24B91">
        <w:rPr>
          <w:rFonts w:ascii="Hind Light" w:hAnsi="Hind Light" w:cs="Hind Light"/>
          <w:bCs/>
          <w:sz w:val="20"/>
          <w:szCs w:val="20"/>
          <w:lang w:eastAsia="en-GB"/>
        </w:rPr>
        <w:t xml:space="preserve">of the EU </w:t>
      </w:r>
      <w:r>
        <w:rPr>
          <w:rFonts w:ascii="Hind Light" w:hAnsi="Hind Light" w:cs="Hind Light"/>
          <w:bCs/>
          <w:sz w:val="20"/>
          <w:szCs w:val="20"/>
          <w:lang w:eastAsia="en-GB"/>
        </w:rPr>
        <w:t>on July 1</w:t>
      </w:r>
      <w:r w:rsidRPr="00CF2A25">
        <w:rPr>
          <w:rFonts w:ascii="Hind Light" w:hAnsi="Hind Light" w:cs="Hind Light"/>
          <w:bCs/>
          <w:sz w:val="20"/>
          <w:szCs w:val="20"/>
          <w:vertAlign w:val="superscript"/>
          <w:lang w:eastAsia="en-GB"/>
        </w:rPr>
        <w:t>st</w:t>
      </w:r>
      <w:r w:rsidR="00F24B91">
        <w:rPr>
          <w:rFonts w:ascii="Hind Light" w:hAnsi="Hind Light" w:cs="Hind Light"/>
          <w:bCs/>
          <w:sz w:val="20"/>
          <w:szCs w:val="20"/>
          <w:lang w:eastAsia="en-GB"/>
        </w:rPr>
        <w:t xml:space="preserve">, </w:t>
      </w:r>
      <w:r w:rsidR="00F040BE">
        <w:rPr>
          <w:rFonts w:ascii="Hind Light" w:hAnsi="Hind Light" w:cs="Hind Light"/>
          <w:bCs/>
          <w:sz w:val="20"/>
          <w:szCs w:val="20"/>
          <w:lang w:eastAsia="en-GB"/>
        </w:rPr>
        <w:t xml:space="preserve">is expected to place at the heart of its legislative </w:t>
      </w:r>
      <w:r w:rsidR="00F040BE" w:rsidRPr="004B5016">
        <w:rPr>
          <w:rFonts w:ascii="Hind Light" w:hAnsi="Hind Light" w:cs="Hind Light"/>
          <w:bCs/>
          <w:sz w:val="20"/>
          <w:szCs w:val="20"/>
          <w:lang w:eastAsia="en-GB"/>
        </w:rPr>
        <w:t>strategy</w:t>
      </w:r>
      <w:r w:rsidR="00F040BE" w:rsidRPr="00F040BE">
        <w:rPr>
          <w:rStyle w:val="Lienhypertexte"/>
          <w:rFonts w:ascii="Hind Light" w:hAnsi="Hind Light" w:cs="Hind Light"/>
          <w:bCs/>
          <w:sz w:val="20"/>
          <w:szCs w:val="20"/>
          <w:u w:val="none"/>
          <w:lang w:eastAsia="en-GB"/>
        </w:rPr>
        <w:t xml:space="preserve"> </w:t>
      </w:r>
      <w:r w:rsidR="00F24B91">
        <w:rPr>
          <w:rFonts w:ascii="Hind Light" w:hAnsi="Hind Light" w:cs="Hind Light"/>
          <w:bCs/>
          <w:sz w:val="20"/>
          <w:szCs w:val="20"/>
          <w:lang w:eastAsia="en-GB"/>
        </w:rPr>
        <w:t xml:space="preserve">measures to boost the </w:t>
      </w:r>
      <w:r>
        <w:rPr>
          <w:rFonts w:ascii="Hind Light" w:hAnsi="Hind Light" w:cs="Hind Light"/>
          <w:bCs/>
          <w:sz w:val="20"/>
          <w:szCs w:val="20"/>
          <w:lang w:eastAsia="en-GB"/>
        </w:rPr>
        <w:t xml:space="preserve">data economy and cybersecurity. </w:t>
      </w:r>
    </w:p>
    <w:p w14:paraId="3B4E637B" w14:textId="11917961" w:rsidR="00CF2A25" w:rsidRDefault="004B5016" w:rsidP="00B912D1">
      <w:pPr>
        <w:pStyle w:val="Paragraphedeliste"/>
        <w:numPr>
          <w:ilvl w:val="0"/>
          <w:numId w:val="8"/>
        </w:numPr>
        <w:jc w:val="both"/>
        <w:rPr>
          <w:rFonts w:ascii="Hind Light" w:hAnsi="Hind Light" w:cs="Hind Light"/>
          <w:b/>
          <w:sz w:val="20"/>
          <w:szCs w:val="20"/>
          <w:lang w:eastAsia="en-GB"/>
        </w:rPr>
      </w:pPr>
      <w:r>
        <w:rPr>
          <w:rFonts w:ascii="Hind Light" w:hAnsi="Hind Light" w:cs="Hind Light"/>
          <w:bCs/>
          <w:sz w:val="20"/>
          <w:szCs w:val="20"/>
          <w:lang w:eastAsia="en-GB"/>
        </w:rPr>
        <w:t xml:space="preserve">A </w:t>
      </w:r>
      <w:hyperlink r:id="rId13" w:history="1">
        <w:r w:rsidR="00F656D5" w:rsidRPr="004B5016">
          <w:rPr>
            <w:rStyle w:val="Lienhypertexte"/>
            <w:rFonts w:ascii="Hind Light" w:hAnsi="Hind Light" w:cs="Hind Light"/>
            <w:bCs/>
            <w:sz w:val="20"/>
            <w:szCs w:val="20"/>
            <w:lang w:eastAsia="en-GB"/>
          </w:rPr>
          <w:t>document</w:t>
        </w:r>
      </w:hyperlink>
      <w:r w:rsidR="00F656D5">
        <w:rPr>
          <w:rFonts w:ascii="Hind Light" w:hAnsi="Hind Light" w:cs="Hind Light"/>
          <w:bCs/>
          <w:sz w:val="20"/>
          <w:szCs w:val="20"/>
          <w:lang w:eastAsia="en-GB"/>
        </w:rPr>
        <w:t xml:space="preserve"> </w:t>
      </w:r>
      <w:r>
        <w:rPr>
          <w:rFonts w:ascii="Hind Light" w:hAnsi="Hind Light" w:cs="Hind Light"/>
          <w:bCs/>
          <w:sz w:val="20"/>
          <w:szCs w:val="20"/>
          <w:lang w:eastAsia="en-GB"/>
        </w:rPr>
        <w:t>released by the Council this week states that</w:t>
      </w:r>
      <w:r w:rsidR="00F656D5">
        <w:rPr>
          <w:rFonts w:ascii="Hind Light" w:hAnsi="Hind Light" w:cs="Hind Light"/>
          <w:bCs/>
          <w:sz w:val="20"/>
          <w:szCs w:val="20"/>
          <w:lang w:eastAsia="en-GB"/>
        </w:rPr>
        <w:t xml:space="preserve">: </w:t>
      </w:r>
      <w:r w:rsidR="00F656D5">
        <w:rPr>
          <w:rFonts w:ascii="Hind Light" w:hAnsi="Hind Light" w:cs="Hind Light"/>
          <w:b/>
          <w:sz w:val="20"/>
          <w:szCs w:val="20"/>
          <w:lang w:eastAsia="en-GB"/>
        </w:rPr>
        <w:t>“</w:t>
      </w:r>
      <w:r w:rsidR="00F656D5">
        <w:rPr>
          <w:rFonts w:ascii="Hind Light" w:hAnsi="Hind Light" w:cs="Hind Light"/>
          <w:bCs/>
          <w:sz w:val="20"/>
          <w:szCs w:val="20"/>
          <w:lang w:eastAsia="en-GB"/>
        </w:rPr>
        <w:t xml:space="preserve">We </w:t>
      </w:r>
      <w:r>
        <w:rPr>
          <w:rFonts w:ascii="Hind Light" w:hAnsi="Hind Light" w:cs="Hind Light"/>
          <w:bCs/>
          <w:sz w:val="20"/>
          <w:szCs w:val="20"/>
          <w:lang w:eastAsia="en-GB"/>
        </w:rPr>
        <w:t xml:space="preserve">[the Finnish government] </w:t>
      </w:r>
      <w:r w:rsidR="00F656D5">
        <w:rPr>
          <w:rFonts w:ascii="Hind Light" w:hAnsi="Hind Light" w:cs="Hind Light"/>
          <w:bCs/>
          <w:sz w:val="20"/>
          <w:szCs w:val="20"/>
          <w:lang w:eastAsia="en-GB"/>
        </w:rPr>
        <w:t>wish to turn the discussion towards trusted and human-centric data economy within Europe, respecting the rights and privacy of individuals</w:t>
      </w:r>
      <w:r w:rsidR="00F656D5">
        <w:rPr>
          <w:rFonts w:ascii="Hind Light" w:hAnsi="Hind Light" w:cs="Hind Light"/>
          <w:b/>
          <w:sz w:val="20"/>
          <w:szCs w:val="20"/>
          <w:lang w:eastAsia="en-GB"/>
        </w:rPr>
        <w:t>”.</w:t>
      </w:r>
    </w:p>
    <w:p w14:paraId="35A0E758" w14:textId="60565F89" w:rsidR="00F656D5" w:rsidRDefault="00F656D5" w:rsidP="00F656D5">
      <w:pPr>
        <w:pStyle w:val="Paragraphedeliste"/>
        <w:numPr>
          <w:ilvl w:val="0"/>
          <w:numId w:val="8"/>
        </w:numPr>
        <w:jc w:val="both"/>
        <w:rPr>
          <w:rFonts w:ascii="Hind Light" w:hAnsi="Hind Light" w:cs="Hind Light"/>
          <w:bCs/>
          <w:sz w:val="20"/>
          <w:szCs w:val="20"/>
          <w:lang w:eastAsia="en-GB"/>
        </w:rPr>
      </w:pPr>
      <w:r w:rsidRPr="00F656D5">
        <w:rPr>
          <w:rFonts w:ascii="Hind Light" w:hAnsi="Hind Light" w:cs="Hind Light"/>
          <w:bCs/>
          <w:sz w:val="20"/>
          <w:szCs w:val="20"/>
          <w:lang w:eastAsia="en-GB"/>
        </w:rPr>
        <w:t xml:space="preserve">The </w:t>
      </w:r>
      <w:r w:rsidR="00F24B91">
        <w:rPr>
          <w:rFonts w:ascii="Hind Light" w:hAnsi="Hind Light" w:cs="Hind Light"/>
          <w:bCs/>
          <w:sz w:val="20"/>
          <w:szCs w:val="20"/>
          <w:lang w:eastAsia="en-GB"/>
        </w:rPr>
        <w:t xml:space="preserve">incoming </w:t>
      </w:r>
      <w:r w:rsidRPr="00F656D5">
        <w:rPr>
          <w:rFonts w:ascii="Hind Light" w:hAnsi="Hind Light" w:cs="Hind Light"/>
          <w:bCs/>
          <w:sz w:val="20"/>
          <w:szCs w:val="20"/>
          <w:lang w:eastAsia="en-GB"/>
        </w:rPr>
        <w:t>Finnish</w:t>
      </w:r>
      <w:r w:rsidR="00F24B91">
        <w:rPr>
          <w:rFonts w:ascii="Hind Light" w:hAnsi="Hind Light" w:cs="Hind Light"/>
          <w:bCs/>
          <w:sz w:val="20"/>
          <w:szCs w:val="20"/>
          <w:lang w:eastAsia="en-GB"/>
        </w:rPr>
        <w:t xml:space="preserve"> Presidency of the EU is expected to continue work on the </w:t>
      </w:r>
      <w:r w:rsidR="002E5D35">
        <w:rPr>
          <w:rFonts w:ascii="Hind Light" w:hAnsi="Hind Light" w:cs="Hind Light"/>
          <w:bCs/>
          <w:sz w:val="20"/>
          <w:szCs w:val="20"/>
          <w:lang w:eastAsia="en-GB"/>
        </w:rPr>
        <w:t xml:space="preserve">ePrivacy proposal and the </w:t>
      </w:r>
      <w:r w:rsidR="00F24B91">
        <w:rPr>
          <w:rFonts w:ascii="Hind Light" w:hAnsi="Hind Light" w:cs="Hind Light"/>
          <w:bCs/>
          <w:sz w:val="20"/>
          <w:szCs w:val="20"/>
          <w:lang w:eastAsia="en-GB"/>
        </w:rPr>
        <w:t>European Cybersecurity Competence Centre Regulation</w:t>
      </w:r>
      <w:r w:rsidR="002E5D35">
        <w:rPr>
          <w:rFonts w:ascii="Hind Light" w:hAnsi="Hind Light" w:cs="Hind Light"/>
          <w:bCs/>
          <w:sz w:val="20"/>
          <w:szCs w:val="20"/>
          <w:lang w:eastAsia="en-GB"/>
        </w:rPr>
        <w:t xml:space="preserve"> as well as </w:t>
      </w:r>
      <w:r w:rsidR="00F24B91">
        <w:rPr>
          <w:rFonts w:ascii="Hind Light" w:hAnsi="Hind Light" w:cs="Hind Light"/>
          <w:bCs/>
          <w:sz w:val="20"/>
          <w:szCs w:val="20"/>
          <w:lang w:eastAsia="en-GB"/>
        </w:rPr>
        <w:t xml:space="preserve">establish </w:t>
      </w:r>
      <w:r w:rsidRPr="00F656D5">
        <w:rPr>
          <w:rFonts w:ascii="Hind Light" w:hAnsi="Hind Light" w:cs="Hind Light"/>
          <w:bCs/>
          <w:sz w:val="20"/>
          <w:szCs w:val="20"/>
          <w:lang w:eastAsia="en-GB"/>
        </w:rPr>
        <w:t>other priorities such as the promotion of access and re-use of data</w:t>
      </w:r>
      <w:r>
        <w:rPr>
          <w:rFonts w:ascii="Hind Light" w:hAnsi="Hind Light" w:cs="Hind Light"/>
          <w:bCs/>
          <w:sz w:val="20"/>
          <w:szCs w:val="20"/>
          <w:lang w:eastAsia="en-GB"/>
        </w:rPr>
        <w:t>.</w:t>
      </w:r>
    </w:p>
    <w:p w14:paraId="6C9BE3A2" w14:textId="77777777" w:rsidR="00F040BE" w:rsidRPr="00F040BE" w:rsidRDefault="00F040BE" w:rsidP="00F040BE">
      <w:pPr>
        <w:pStyle w:val="Paragraphedeliste"/>
        <w:ind w:left="761"/>
        <w:jc w:val="both"/>
        <w:rPr>
          <w:rFonts w:ascii="Hind Light" w:hAnsi="Hind Light" w:cs="Hind Light"/>
          <w:bCs/>
          <w:sz w:val="20"/>
          <w:szCs w:val="20"/>
          <w:lang w:eastAsia="en-GB"/>
        </w:rPr>
      </w:pPr>
    </w:p>
    <w:p w14:paraId="3A16C29E" w14:textId="259B904E" w:rsidR="0061186E" w:rsidRDefault="0061186E" w:rsidP="0061186E">
      <w:pPr>
        <w:jc w:val="both"/>
        <w:rPr>
          <w:rFonts w:ascii="Hind Light" w:hAnsi="Hind Light" w:cs="Hind Light"/>
          <w:b/>
          <w:sz w:val="20"/>
          <w:szCs w:val="20"/>
          <w:lang w:eastAsia="en-GB"/>
        </w:rPr>
      </w:pPr>
      <w:r>
        <w:rPr>
          <w:rFonts w:ascii="Hind Light" w:hAnsi="Hind Light" w:cs="Hind Light"/>
          <w:b/>
          <w:sz w:val="20"/>
          <w:szCs w:val="20"/>
          <w:lang w:eastAsia="en-GB"/>
        </w:rPr>
        <w:t>EU: Commission publishes guidelines on</w:t>
      </w:r>
      <w:r w:rsidR="00F040BE">
        <w:rPr>
          <w:rFonts w:ascii="Hind Light" w:hAnsi="Hind Light" w:cs="Hind Light"/>
          <w:b/>
          <w:sz w:val="20"/>
          <w:szCs w:val="20"/>
          <w:lang w:eastAsia="en-GB"/>
        </w:rPr>
        <w:t xml:space="preserve"> the</w:t>
      </w:r>
      <w:r>
        <w:rPr>
          <w:rFonts w:ascii="Hind Light" w:hAnsi="Hind Light" w:cs="Hind Light"/>
          <w:b/>
          <w:sz w:val="20"/>
          <w:szCs w:val="20"/>
          <w:lang w:eastAsia="en-GB"/>
        </w:rPr>
        <w:t xml:space="preserve"> free flow of non-personal data</w:t>
      </w:r>
    </w:p>
    <w:p w14:paraId="5BE66068" w14:textId="51895FE2" w:rsidR="0061186E" w:rsidRPr="00C52F58" w:rsidRDefault="0061186E" w:rsidP="00B912D1">
      <w:pPr>
        <w:pStyle w:val="Paragraphedeliste"/>
        <w:numPr>
          <w:ilvl w:val="0"/>
          <w:numId w:val="5"/>
        </w:numPr>
        <w:jc w:val="both"/>
        <w:rPr>
          <w:rFonts w:ascii="Hind Light" w:hAnsi="Hind Light" w:cs="Hind Light"/>
          <w:b/>
          <w:sz w:val="20"/>
          <w:szCs w:val="20"/>
          <w:lang w:eastAsia="en-GB"/>
        </w:rPr>
      </w:pPr>
      <w:r>
        <w:rPr>
          <w:rFonts w:ascii="Hind Light" w:hAnsi="Hind Light" w:cs="Hind Light"/>
          <w:bCs/>
          <w:sz w:val="20"/>
          <w:szCs w:val="20"/>
          <w:lang w:eastAsia="en-GB"/>
        </w:rPr>
        <w:t xml:space="preserve">Earlier this week and as part of the Digital Single Market strategy, the European Commission published new </w:t>
      </w:r>
      <w:hyperlink r:id="rId14" w:history="1">
        <w:r w:rsidRPr="00C52F58">
          <w:rPr>
            <w:rStyle w:val="Lienhypertexte"/>
            <w:rFonts w:ascii="Hind Light" w:hAnsi="Hind Light" w:cs="Hind Light"/>
            <w:bCs/>
            <w:sz w:val="20"/>
            <w:szCs w:val="20"/>
            <w:lang w:eastAsia="en-GB"/>
          </w:rPr>
          <w:t>guidance</w:t>
        </w:r>
      </w:hyperlink>
      <w:r>
        <w:rPr>
          <w:rFonts w:ascii="Hind Light" w:hAnsi="Hind Light" w:cs="Hind Light"/>
          <w:bCs/>
          <w:sz w:val="20"/>
          <w:szCs w:val="20"/>
          <w:lang w:eastAsia="en-GB"/>
        </w:rPr>
        <w:t xml:space="preserve"> on how EU data protection rules interact with </w:t>
      </w:r>
      <w:r w:rsidR="00C52F58">
        <w:rPr>
          <w:rFonts w:ascii="Hind Light" w:hAnsi="Hind Light" w:cs="Hind Light"/>
          <w:bCs/>
          <w:sz w:val="20"/>
          <w:szCs w:val="20"/>
          <w:lang w:eastAsia="en-GB"/>
        </w:rPr>
        <w:t xml:space="preserve">the free flow </w:t>
      </w:r>
      <w:r>
        <w:rPr>
          <w:rFonts w:ascii="Hind Light" w:hAnsi="Hind Light" w:cs="Hind Light"/>
          <w:bCs/>
          <w:sz w:val="20"/>
          <w:szCs w:val="20"/>
          <w:lang w:eastAsia="en-GB"/>
        </w:rPr>
        <w:t xml:space="preserve">non-personal data. </w:t>
      </w:r>
    </w:p>
    <w:p w14:paraId="626BDD00" w14:textId="556D09E9" w:rsidR="00C52F58" w:rsidRPr="00C52F58" w:rsidRDefault="00C52F58" w:rsidP="00B912D1">
      <w:pPr>
        <w:pStyle w:val="Paragraphedeliste"/>
        <w:numPr>
          <w:ilvl w:val="0"/>
          <w:numId w:val="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new </w:t>
      </w:r>
      <w:hyperlink r:id="rId15" w:history="1">
        <w:r w:rsidRPr="00C52F58">
          <w:rPr>
            <w:rStyle w:val="Lienhypertexte"/>
            <w:rFonts w:ascii="Hind Light" w:hAnsi="Hind Light" w:cs="Hind Light"/>
            <w:bCs/>
            <w:sz w:val="20"/>
            <w:szCs w:val="20"/>
            <w:lang w:eastAsia="en-GB"/>
          </w:rPr>
          <w:t>Regulation</w:t>
        </w:r>
      </w:hyperlink>
      <w:r>
        <w:rPr>
          <w:rFonts w:ascii="Hind Light" w:hAnsi="Hind Light" w:cs="Hind Light"/>
          <w:bCs/>
          <w:sz w:val="20"/>
          <w:szCs w:val="20"/>
          <w:lang w:eastAsia="en-GB"/>
        </w:rPr>
        <w:t xml:space="preserve"> allows data to be stored and processed everywhere in the EU without unjustified restrictions</w:t>
      </w:r>
      <w:r w:rsidR="00F040BE">
        <w:rPr>
          <w:rFonts w:ascii="Hind Light" w:hAnsi="Hind Light" w:cs="Hind Light"/>
          <w:bCs/>
          <w:sz w:val="20"/>
          <w:szCs w:val="20"/>
          <w:lang w:eastAsia="en-GB"/>
        </w:rPr>
        <w:t xml:space="preserve"> with </w:t>
      </w:r>
      <w:r>
        <w:rPr>
          <w:rFonts w:ascii="Hind Light" w:hAnsi="Hind Light" w:cs="Hind Light"/>
          <w:bCs/>
          <w:sz w:val="20"/>
          <w:szCs w:val="20"/>
          <w:lang w:eastAsia="en-GB"/>
        </w:rPr>
        <w:t xml:space="preserve">the aim of </w:t>
      </w:r>
      <w:r w:rsidR="00F040BE">
        <w:rPr>
          <w:rFonts w:ascii="Hind Light" w:hAnsi="Hind Light" w:cs="Hind Light"/>
          <w:bCs/>
          <w:sz w:val="20"/>
          <w:szCs w:val="20"/>
          <w:lang w:eastAsia="en-GB"/>
        </w:rPr>
        <w:t xml:space="preserve">helping </w:t>
      </w:r>
      <w:r>
        <w:rPr>
          <w:rFonts w:ascii="Hind Light" w:hAnsi="Hind Light" w:cs="Hind Light"/>
          <w:bCs/>
          <w:sz w:val="20"/>
          <w:szCs w:val="20"/>
          <w:lang w:eastAsia="en-GB"/>
        </w:rPr>
        <w:t xml:space="preserve">SMEs and users. </w:t>
      </w:r>
    </w:p>
    <w:p w14:paraId="1BA2A382" w14:textId="4A272815" w:rsidR="00C52F58" w:rsidRPr="00C52F58" w:rsidRDefault="00C52F58" w:rsidP="00B912D1">
      <w:pPr>
        <w:pStyle w:val="Paragraphedeliste"/>
        <w:numPr>
          <w:ilvl w:val="0"/>
          <w:numId w:val="5"/>
        </w:numPr>
        <w:jc w:val="both"/>
        <w:rPr>
          <w:rFonts w:ascii="Hind Light" w:hAnsi="Hind Light" w:cs="Hind Light"/>
          <w:b/>
          <w:sz w:val="20"/>
          <w:szCs w:val="20"/>
          <w:lang w:eastAsia="en-GB"/>
        </w:rPr>
      </w:pPr>
      <w:r>
        <w:rPr>
          <w:rFonts w:ascii="Hind Light" w:hAnsi="Hind Light" w:cs="Hind Light"/>
          <w:bCs/>
          <w:sz w:val="20"/>
          <w:szCs w:val="20"/>
          <w:lang w:eastAsia="en-GB"/>
        </w:rPr>
        <w:t>The Regulation also provides for a stable legal business environment on data processing, preventing EU Member States from approving laws that unjustifiably force data to be held inside national territory.</w:t>
      </w:r>
    </w:p>
    <w:p w14:paraId="3BFD380C" w14:textId="1BD5CD0E" w:rsidR="00C52F58" w:rsidRPr="00C52F58" w:rsidRDefault="00C52F58" w:rsidP="00B912D1">
      <w:pPr>
        <w:pStyle w:val="Paragraphedeliste"/>
        <w:numPr>
          <w:ilvl w:val="0"/>
          <w:numId w:val="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w:t>
      </w:r>
      <w:hyperlink r:id="rId16" w:history="1">
        <w:r w:rsidRPr="00C52F58">
          <w:rPr>
            <w:rStyle w:val="Lienhypertexte"/>
            <w:rFonts w:ascii="Hind Light" w:hAnsi="Hind Light" w:cs="Hind Light"/>
            <w:bCs/>
            <w:sz w:val="20"/>
            <w:szCs w:val="20"/>
            <w:lang w:eastAsia="en-GB"/>
          </w:rPr>
          <w:t>guidance</w:t>
        </w:r>
      </w:hyperlink>
      <w:r>
        <w:rPr>
          <w:rFonts w:ascii="Hind Light" w:hAnsi="Hind Light" w:cs="Hind Light"/>
          <w:bCs/>
          <w:sz w:val="20"/>
          <w:szCs w:val="20"/>
          <w:lang w:eastAsia="en-GB"/>
        </w:rPr>
        <w:t xml:space="preserve"> addresses concepts such as personal and non-personal data, and their combination in so-called ‘mixed datasets’, the principles of free movement of data and the prohibition of data localisation requirements. </w:t>
      </w:r>
    </w:p>
    <w:p w14:paraId="543FA2C7" w14:textId="153FC96A" w:rsidR="00C52F58" w:rsidRPr="009F7143" w:rsidRDefault="00C52F58" w:rsidP="00B912D1">
      <w:pPr>
        <w:pStyle w:val="Paragraphedeliste"/>
        <w:numPr>
          <w:ilvl w:val="0"/>
          <w:numId w:val="5"/>
        </w:numPr>
        <w:jc w:val="both"/>
        <w:rPr>
          <w:rFonts w:ascii="Hind Light" w:hAnsi="Hind Light" w:cs="Hind Light"/>
          <w:b/>
          <w:sz w:val="20"/>
          <w:szCs w:val="20"/>
          <w:lang w:eastAsia="en-GB"/>
        </w:rPr>
      </w:pPr>
      <w:r>
        <w:rPr>
          <w:rFonts w:ascii="Hind Light" w:hAnsi="Hind Light" w:cs="Hind Light"/>
          <w:bCs/>
          <w:sz w:val="20"/>
          <w:szCs w:val="20"/>
          <w:lang w:eastAsia="en-GB"/>
        </w:rPr>
        <w:t>Vice-</w:t>
      </w:r>
      <w:r w:rsidR="00F040BE">
        <w:rPr>
          <w:rFonts w:ascii="Hind Light" w:hAnsi="Hind Light" w:cs="Hind Light"/>
          <w:bCs/>
          <w:sz w:val="20"/>
          <w:szCs w:val="20"/>
          <w:lang w:eastAsia="en-GB"/>
        </w:rPr>
        <w:t>P</w:t>
      </w:r>
      <w:r>
        <w:rPr>
          <w:rFonts w:ascii="Hind Light" w:hAnsi="Hind Light" w:cs="Hind Light"/>
          <w:bCs/>
          <w:sz w:val="20"/>
          <w:szCs w:val="20"/>
          <w:lang w:eastAsia="en-GB"/>
        </w:rPr>
        <w:t xml:space="preserve">resident for the Digital Single Market Andrus Ansip </w:t>
      </w:r>
      <w:r w:rsidR="00F040BE">
        <w:rPr>
          <w:rFonts w:ascii="Hind Light" w:hAnsi="Hind Light" w:cs="Hind Light"/>
          <w:bCs/>
          <w:sz w:val="20"/>
          <w:szCs w:val="20"/>
          <w:lang w:eastAsia="en-GB"/>
        </w:rPr>
        <w:t>s</w:t>
      </w:r>
      <w:r>
        <w:rPr>
          <w:rFonts w:ascii="Hind Light" w:hAnsi="Hind Light" w:cs="Hind Light"/>
          <w:bCs/>
          <w:sz w:val="20"/>
          <w:szCs w:val="20"/>
          <w:lang w:eastAsia="en-GB"/>
        </w:rPr>
        <w:t>tated</w:t>
      </w:r>
      <w:r w:rsidR="00F040BE">
        <w:rPr>
          <w:rFonts w:ascii="Hind Light" w:hAnsi="Hind Light" w:cs="Hind Light"/>
          <w:bCs/>
          <w:sz w:val="20"/>
          <w:szCs w:val="20"/>
          <w:lang w:eastAsia="en-GB"/>
        </w:rPr>
        <w:t xml:space="preserve"> that </w:t>
      </w:r>
      <w:r>
        <w:rPr>
          <w:rFonts w:ascii="Hind Light" w:hAnsi="Hind Light" w:cs="Hind Light"/>
          <w:bCs/>
          <w:sz w:val="20"/>
          <w:szCs w:val="20"/>
          <w:lang w:eastAsia="en-GB"/>
        </w:rPr>
        <w:t>“</w:t>
      </w:r>
      <w:r w:rsidRPr="00C52F58">
        <w:rPr>
          <w:rFonts w:ascii="Hind Light" w:hAnsi="Hind Light" w:cs="Hind Light"/>
          <w:bCs/>
          <w:sz w:val="20"/>
          <w:szCs w:val="20"/>
          <w:lang w:eastAsia="en-GB"/>
        </w:rPr>
        <w:t>By removing forced data localisation restrictions, we give more people and businesses the chance to make the most out of data and its opportunities</w:t>
      </w:r>
      <w:r>
        <w:rPr>
          <w:rFonts w:ascii="Hind Light" w:hAnsi="Hind Light" w:cs="Hind Light"/>
          <w:bCs/>
          <w:sz w:val="20"/>
          <w:szCs w:val="20"/>
          <w:lang w:eastAsia="en-GB"/>
        </w:rPr>
        <w:t>”</w:t>
      </w:r>
      <w:r w:rsidR="009F7143">
        <w:rPr>
          <w:rFonts w:ascii="Hind Light" w:hAnsi="Hind Light" w:cs="Hind Light"/>
          <w:bCs/>
          <w:sz w:val="20"/>
          <w:szCs w:val="20"/>
          <w:lang w:eastAsia="en-GB"/>
        </w:rPr>
        <w:t>.</w:t>
      </w:r>
    </w:p>
    <w:p w14:paraId="6BAC994E" w14:textId="306EF964" w:rsidR="009F7143" w:rsidRDefault="009F7143" w:rsidP="009F7143">
      <w:pPr>
        <w:jc w:val="both"/>
        <w:rPr>
          <w:rFonts w:ascii="Hind Light" w:hAnsi="Hind Light" w:cs="Hind Light"/>
          <w:b/>
          <w:sz w:val="20"/>
          <w:szCs w:val="20"/>
          <w:lang w:eastAsia="en-GB"/>
        </w:rPr>
      </w:pPr>
    </w:p>
    <w:p w14:paraId="2C623BE2" w14:textId="5DAC4437" w:rsidR="009F7143" w:rsidRDefault="009F7143" w:rsidP="009F7143">
      <w:pPr>
        <w:jc w:val="both"/>
        <w:rPr>
          <w:rFonts w:ascii="Hind Light" w:hAnsi="Hind Light" w:cs="Hind Light"/>
          <w:b/>
          <w:sz w:val="20"/>
          <w:szCs w:val="20"/>
          <w:lang w:eastAsia="en-GB"/>
        </w:rPr>
      </w:pPr>
      <w:r>
        <w:rPr>
          <w:rFonts w:ascii="Hind Light" w:hAnsi="Hind Light" w:cs="Hind Light"/>
          <w:b/>
          <w:sz w:val="20"/>
          <w:szCs w:val="20"/>
          <w:lang w:eastAsia="en-GB"/>
        </w:rPr>
        <w:t>EU: Citizens have the right to rectification of inaccurate personal data, says European Commission</w:t>
      </w:r>
    </w:p>
    <w:p w14:paraId="34C1E9F1" w14:textId="0ED3F7A3" w:rsidR="009F7143" w:rsidRPr="00CF2A25" w:rsidRDefault="00CF2A25" w:rsidP="00B912D1">
      <w:pPr>
        <w:pStyle w:val="Paragraphedeliste"/>
        <w:numPr>
          <w:ilvl w:val="0"/>
          <w:numId w:val="7"/>
        </w:numPr>
        <w:jc w:val="both"/>
        <w:rPr>
          <w:rFonts w:ascii="Hind Light" w:hAnsi="Hind Light" w:cs="Hind Light"/>
          <w:b/>
          <w:sz w:val="20"/>
          <w:szCs w:val="20"/>
          <w:lang w:eastAsia="en-GB"/>
        </w:rPr>
      </w:pPr>
      <w:r>
        <w:rPr>
          <w:rFonts w:ascii="Hind Light" w:hAnsi="Hind Light" w:cs="Hind Light"/>
          <w:bCs/>
          <w:sz w:val="20"/>
          <w:szCs w:val="20"/>
          <w:lang w:eastAsia="en-GB"/>
        </w:rPr>
        <w:t>Earlier this year an Irish MEP</w:t>
      </w:r>
      <w:r w:rsidR="00F040BE">
        <w:rPr>
          <w:rFonts w:ascii="Hind Light" w:hAnsi="Hind Light" w:cs="Hind Light"/>
          <w:bCs/>
          <w:sz w:val="20"/>
          <w:szCs w:val="20"/>
          <w:lang w:eastAsia="en-GB"/>
        </w:rPr>
        <w:t xml:space="preserve">, </w:t>
      </w:r>
      <w:r w:rsidR="00F040BE" w:rsidRPr="00F040BE">
        <w:rPr>
          <w:rFonts w:ascii="Hind Light" w:hAnsi="Hind Light" w:cs="Hind Light"/>
          <w:bCs/>
          <w:sz w:val="20"/>
          <w:szCs w:val="20"/>
          <w:lang w:eastAsia="en-GB"/>
        </w:rPr>
        <w:t xml:space="preserve">Liadh Ní Riada </w:t>
      </w:r>
      <w:r w:rsidR="00F040BE">
        <w:rPr>
          <w:rFonts w:ascii="Hind Light" w:hAnsi="Hind Light" w:cs="Hind Light"/>
          <w:bCs/>
          <w:sz w:val="20"/>
          <w:szCs w:val="20"/>
          <w:lang w:eastAsia="en-GB"/>
        </w:rPr>
        <w:t xml:space="preserve">from the </w:t>
      </w:r>
      <w:r w:rsidR="00F040BE" w:rsidRPr="00F040BE">
        <w:rPr>
          <w:rFonts w:ascii="Hind Light" w:hAnsi="Hind Light" w:cs="Hind Light"/>
          <w:bCs/>
          <w:sz w:val="20"/>
          <w:szCs w:val="20"/>
          <w:lang w:eastAsia="en-GB"/>
        </w:rPr>
        <w:t>GUE/NGL</w:t>
      </w:r>
      <w:r w:rsidR="00F040BE">
        <w:rPr>
          <w:rFonts w:ascii="Hind Light" w:hAnsi="Hind Light" w:cs="Hind Light"/>
          <w:bCs/>
          <w:sz w:val="20"/>
          <w:szCs w:val="20"/>
          <w:lang w:eastAsia="en-GB"/>
        </w:rPr>
        <w:t xml:space="preserve"> Group, submitted</w:t>
      </w:r>
      <w:r>
        <w:rPr>
          <w:rFonts w:ascii="Hind Light" w:hAnsi="Hind Light" w:cs="Hind Light"/>
          <w:bCs/>
          <w:sz w:val="20"/>
          <w:szCs w:val="20"/>
          <w:lang w:eastAsia="en-GB"/>
        </w:rPr>
        <w:t xml:space="preserve"> a</w:t>
      </w:r>
      <w:r w:rsidR="009F7143">
        <w:rPr>
          <w:rFonts w:ascii="Hind Light" w:hAnsi="Hind Light" w:cs="Hind Light"/>
          <w:bCs/>
          <w:sz w:val="20"/>
          <w:szCs w:val="20"/>
          <w:lang w:eastAsia="en-GB"/>
        </w:rPr>
        <w:t xml:space="preserve"> </w:t>
      </w:r>
      <w:r w:rsidR="00F040BE">
        <w:rPr>
          <w:rFonts w:ascii="Hind Light" w:hAnsi="Hind Light" w:cs="Hind Light"/>
          <w:bCs/>
          <w:sz w:val="20"/>
          <w:szCs w:val="20"/>
          <w:lang w:eastAsia="en-GB"/>
        </w:rPr>
        <w:t xml:space="preserve">parliamentary </w:t>
      </w:r>
      <w:hyperlink r:id="rId17" w:history="1">
        <w:r w:rsidR="009F7143" w:rsidRPr="00CF2A25">
          <w:rPr>
            <w:rStyle w:val="Lienhypertexte"/>
            <w:rFonts w:ascii="Hind Light" w:hAnsi="Hind Light" w:cs="Hind Light"/>
            <w:bCs/>
            <w:sz w:val="20"/>
            <w:szCs w:val="20"/>
            <w:lang w:eastAsia="en-GB"/>
          </w:rPr>
          <w:t>question</w:t>
        </w:r>
      </w:hyperlink>
      <w:r w:rsidR="009F7143">
        <w:rPr>
          <w:rFonts w:ascii="Hind Light" w:hAnsi="Hind Light" w:cs="Hind Light"/>
          <w:bCs/>
          <w:sz w:val="20"/>
          <w:szCs w:val="20"/>
          <w:lang w:eastAsia="en-GB"/>
        </w:rPr>
        <w:t xml:space="preserve"> </w:t>
      </w:r>
      <w:r>
        <w:rPr>
          <w:rFonts w:ascii="Hind Light" w:hAnsi="Hind Light" w:cs="Hind Light"/>
          <w:bCs/>
          <w:sz w:val="20"/>
          <w:szCs w:val="20"/>
          <w:lang w:eastAsia="en-GB"/>
        </w:rPr>
        <w:t>to</w:t>
      </w:r>
      <w:r w:rsidR="009F7143">
        <w:rPr>
          <w:rFonts w:ascii="Hind Light" w:hAnsi="Hind Light" w:cs="Hind Light"/>
          <w:bCs/>
          <w:sz w:val="20"/>
          <w:szCs w:val="20"/>
          <w:lang w:eastAsia="en-GB"/>
        </w:rPr>
        <w:t xml:space="preserve"> the European Commission on whether citizens</w:t>
      </w:r>
      <w:r w:rsidR="00D13502">
        <w:rPr>
          <w:rFonts w:ascii="Hind Light" w:hAnsi="Hind Light" w:cs="Hind Light"/>
          <w:bCs/>
          <w:sz w:val="20"/>
          <w:szCs w:val="20"/>
          <w:lang w:eastAsia="en-GB"/>
        </w:rPr>
        <w:t xml:space="preserve"> should have</w:t>
      </w:r>
      <w:r w:rsidR="009F7143">
        <w:rPr>
          <w:rFonts w:ascii="Hind Light" w:hAnsi="Hind Light" w:cs="Hind Light"/>
          <w:bCs/>
          <w:sz w:val="20"/>
          <w:szCs w:val="20"/>
          <w:lang w:eastAsia="en-GB"/>
        </w:rPr>
        <w:t xml:space="preserve"> the right to request </w:t>
      </w:r>
      <w:r>
        <w:rPr>
          <w:rFonts w:ascii="Hind Light" w:hAnsi="Hind Light" w:cs="Hind Light"/>
          <w:bCs/>
          <w:sz w:val="20"/>
          <w:szCs w:val="20"/>
          <w:lang w:eastAsia="en-GB"/>
        </w:rPr>
        <w:t xml:space="preserve">the imminent rectification of personal data under GDPR. </w:t>
      </w:r>
    </w:p>
    <w:p w14:paraId="1941CB09" w14:textId="4F98DFB5" w:rsidR="00CF2A25" w:rsidRPr="00CF2A25" w:rsidRDefault="00CF2A25" w:rsidP="00B912D1">
      <w:pPr>
        <w:pStyle w:val="Paragraphedeliste"/>
        <w:numPr>
          <w:ilvl w:val="0"/>
          <w:numId w:val="7"/>
        </w:numPr>
        <w:jc w:val="both"/>
        <w:rPr>
          <w:rFonts w:ascii="Hind Light" w:hAnsi="Hind Light" w:cs="Hind Light"/>
          <w:b/>
          <w:sz w:val="20"/>
          <w:szCs w:val="20"/>
          <w:lang w:eastAsia="en-GB"/>
        </w:rPr>
      </w:pPr>
      <w:r>
        <w:rPr>
          <w:rFonts w:ascii="Hind Light" w:hAnsi="Hind Light" w:cs="Hind Light"/>
          <w:bCs/>
          <w:sz w:val="20"/>
          <w:szCs w:val="20"/>
          <w:lang w:eastAsia="en-GB"/>
        </w:rPr>
        <w:t>The question presented the case of an Irish citizen that had repeatedly asked the Irish authority to rectify a misspell</w:t>
      </w:r>
      <w:r w:rsidR="00F040BE">
        <w:rPr>
          <w:rFonts w:ascii="Hind Light" w:hAnsi="Hind Light" w:cs="Hind Light"/>
          <w:bCs/>
          <w:sz w:val="20"/>
          <w:szCs w:val="20"/>
          <w:lang w:eastAsia="en-GB"/>
        </w:rPr>
        <w:t>ing</w:t>
      </w:r>
      <w:r>
        <w:rPr>
          <w:rFonts w:ascii="Hind Light" w:hAnsi="Hind Light" w:cs="Hind Light"/>
          <w:bCs/>
          <w:sz w:val="20"/>
          <w:szCs w:val="20"/>
          <w:lang w:eastAsia="en-GB"/>
        </w:rPr>
        <w:t xml:space="preserve"> </w:t>
      </w:r>
      <w:r w:rsidR="00F040BE">
        <w:rPr>
          <w:rFonts w:ascii="Hind Light" w:hAnsi="Hind Light" w:cs="Hind Light"/>
          <w:bCs/>
          <w:sz w:val="20"/>
          <w:szCs w:val="20"/>
          <w:lang w:eastAsia="en-GB"/>
        </w:rPr>
        <w:t xml:space="preserve">of </w:t>
      </w:r>
      <w:r>
        <w:rPr>
          <w:rFonts w:ascii="Hind Light" w:hAnsi="Hind Light" w:cs="Hind Light"/>
          <w:bCs/>
          <w:sz w:val="20"/>
          <w:szCs w:val="20"/>
          <w:lang w:eastAsia="en-GB"/>
        </w:rPr>
        <w:t xml:space="preserve">his name in medical documents. </w:t>
      </w:r>
    </w:p>
    <w:p w14:paraId="5E375B96" w14:textId="1899CA36" w:rsidR="00CF2A25" w:rsidRPr="00CF2A25" w:rsidRDefault="00CF2A25" w:rsidP="00B912D1">
      <w:pPr>
        <w:pStyle w:val="Paragraphedeliste"/>
        <w:numPr>
          <w:ilvl w:val="0"/>
          <w:numId w:val="7"/>
        </w:numPr>
        <w:jc w:val="both"/>
        <w:rPr>
          <w:rFonts w:ascii="Hind Light" w:hAnsi="Hind Light" w:cs="Hind Light"/>
          <w:b/>
          <w:sz w:val="20"/>
          <w:szCs w:val="20"/>
          <w:lang w:eastAsia="en-GB"/>
        </w:rPr>
      </w:pPr>
      <w:r>
        <w:rPr>
          <w:rFonts w:ascii="Hind Light" w:hAnsi="Hind Light" w:cs="Hind Light"/>
          <w:bCs/>
          <w:sz w:val="20"/>
          <w:szCs w:val="20"/>
          <w:lang w:eastAsia="en-GB"/>
        </w:rPr>
        <w:t xml:space="preserve">In her answer, European Commissioner for Justice Vera Jourová </w:t>
      </w:r>
      <w:r w:rsidR="00D13502">
        <w:rPr>
          <w:rFonts w:ascii="Hind Light" w:hAnsi="Hind Light" w:cs="Hind Light"/>
          <w:bCs/>
          <w:sz w:val="20"/>
          <w:szCs w:val="20"/>
          <w:lang w:eastAsia="en-GB"/>
        </w:rPr>
        <w:t xml:space="preserve">confirmed that citizens should be able to immediately demand such a rectification, </w:t>
      </w:r>
      <w:hyperlink r:id="rId18" w:history="1">
        <w:r w:rsidRPr="00CF2A25">
          <w:rPr>
            <w:rStyle w:val="Lienhypertexte"/>
            <w:rFonts w:ascii="Hind Light" w:hAnsi="Hind Light" w:cs="Hind Light"/>
            <w:bCs/>
            <w:sz w:val="20"/>
            <w:szCs w:val="20"/>
            <w:lang w:eastAsia="en-GB"/>
          </w:rPr>
          <w:t>stat</w:t>
        </w:r>
        <w:r w:rsidR="00D13502">
          <w:rPr>
            <w:rStyle w:val="Lienhypertexte"/>
            <w:rFonts w:ascii="Hind Light" w:hAnsi="Hind Light" w:cs="Hind Light"/>
            <w:bCs/>
            <w:sz w:val="20"/>
            <w:szCs w:val="20"/>
            <w:lang w:eastAsia="en-GB"/>
          </w:rPr>
          <w:t>ing</w:t>
        </w:r>
      </w:hyperlink>
      <w:r w:rsidR="00D13502" w:rsidRPr="00D13502">
        <w:rPr>
          <w:rStyle w:val="Lienhypertexte"/>
          <w:rFonts w:ascii="Hind Light" w:hAnsi="Hind Light" w:cs="Hind Light"/>
          <w:bCs/>
          <w:sz w:val="20"/>
          <w:szCs w:val="20"/>
          <w:u w:val="none"/>
          <w:lang w:eastAsia="en-GB"/>
        </w:rPr>
        <w:t xml:space="preserve"> </w:t>
      </w:r>
      <w:r>
        <w:rPr>
          <w:rFonts w:ascii="Hind Light" w:hAnsi="Hind Light" w:cs="Hind Light"/>
          <w:bCs/>
          <w:sz w:val="20"/>
          <w:szCs w:val="20"/>
          <w:lang w:eastAsia="en-GB"/>
        </w:rPr>
        <w:t>“the data subject has the right to obtain from the controller without undue delay the rectification of inaccurate personal data”.</w:t>
      </w:r>
    </w:p>
    <w:p w14:paraId="6FCFEF43" w14:textId="5D5A572E" w:rsidR="00CF2A25" w:rsidRPr="009F7143" w:rsidRDefault="00CF2A25" w:rsidP="00B912D1">
      <w:pPr>
        <w:pStyle w:val="Paragraphedeliste"/>
        <w:numPr>
          <w:ilvl w:val="0"/>
          <w:numId w:val="7"/>
        </w:numPr>
        <w:jc w:val="both"/>
        <w:rPr>
          <w:rFonts w:ascii="Hind Light" w:hAnsi="Hind Light" w:cs="Hind Light"/>
          <w:b/>
          <w:sz w:val="20"/>
          <w:szCs w:val="20"/>
          <w:lang w:eastAsia="en-GB"/>
        </w:rPr>
      </w:pPr>
      <w:r>
        <w:rPr>
          <w:rFonts w:ascii="Hind Light" w:hAnsi="Hind Light" w:cs="Hind Light"/>
          <w:bCs/>
          <w:sz w:val="20"/>
          <w:szCs w:val="20"/>
          <w:lang w:eastAsia="en-GB"/>
        </w:rPr>
        <w:t xml:space="preserve">She added that the enforcement of the data protection legislation falls under the competence of the national data authority, and the individual has the right to initiate a proceeding against the authority before the national court if he </w:t>
      </w:r>
      <w:r w:rsidR="00D13502">
        <w:rPr>
          <w:rFonts w:ascii="Hind Light" w:hAnsi="Hind Light" w:cs="Hind Light"/>
          <w:bCs/>
          <w:sz w:val="20"/>
          <w:szCs w:val="20"/>
          <w:lang w:eastAsia="en-GB"/>
        </w:rPr>
        <w:t xml:space="preserve">or she </w:t>
      </w:r>
      <w:r>
        <w:rPr>
          <w:rFonts w:ascii="Hind Light" w:hAnsi="Hind Light" w:cs="Hind Light"/>
          <w:bCs/>
          <w:sz w:val="20"/>
          <w:szCs w:val="20"/>
          <w:lang w:eastAsia="en-GB"/>
        </w:rPr>
        <w:t xml:space="preserve">is not satisfied. </w:t>
      </w:r>
    </w:p>
    <w:p w14:paraId="037095A0" w14:textId="38AC3FC1" w:rsidR="001676F6" w:rsidRDefault="001676F6" w:rsidP="001676F6">
      <w:pPr>
        <w:jc w:val="both"/>
        <w:rPr>
          <w:rFonts w:ascii="Hind Light" w:hAnsi="Hind Light" w:cs="Hind Light"/>
          <w:bCs/>
          <w:sz w:val="20"/>
          <w:szCs w:val="20"/>
          <w:lang w:eastAsia="en-GB"/>
        </w:rPr>
      </w:pPr>
    </w:p>
    <w:p w14:paraId="4316A38F" w14:textId="386FCF98" w:rsidR="001676F6" w:rsidRDefault="001676F6" w:rsidP="001676F6">
      <w:pPr>
        <w:jc w:val="both"/>
        <w:rPr>
          <w:rFonts w:ascii="Hind Light" w:hAnsi="Hind Light" w:cs="Hind Light"/>
          <w:b/>
          <w:sz w:val="20"/>
          <w:szCs w:val="20"/>
          <w:lang w:eastAsia="en-GB"/>
        </w:rPr>
      </w:pPr>
      <w:r>
        <w:rPr>
          <w:rFonts w:ascii="Hind Light" w:hAnsi="Hind Light" w:cs="Hind Light"/>
          <w:b/>
          <w:sz w:val="20"/>
          <w:szCs w:val="20"/>
          <w:lang w:eastAsia="en-GB"/>
        </w:rPr>
        <w:t>EU: Ministers adopt mandate for WTO e-commerce talks</w:t>
      </w:r>
    </w:p>
    <w:p w14:paraId="347BC838" w14:textId="0AB6D8AE" w:rsidR="001676F6" w:rsidRPr="001676F6" w:rsidRDefault="001676F6" w:rsidP="00B912D1">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Council </w:t>
      </w:r>
      <w:hyperlink r:id="rId19" w:history="1">
        <w:r w:rsidRPr="001676F6">
          <w:rPr>
            <w:rStyle w:val="Lienhypertexte"/>
            <w:rFonts w:ascii="Hind Light" w:hAnsi="Hind Light" w:cs="Hind Light"/>
            <w:bCs/>
            <w:sz w:val="20"/>
            <w:szCs w:val="20"/>
            <w:lang w:eastAsia="en-GB"/>
          </w:rPr>
          <w:t>adopted</w:t>
        </w:r>
      </w:hyperlink>
      <w:r>
        <w:rPr>
          <w:rFonts w:ascii="Hind Light" w:hAnsi="Hind Light" w:cs="Hind Light"/>
          <w:bCs/>
          <w:sz w:val="20"/>
          <w:szCs w:val="20"/>
          <w:lang w:eastAsia="en-GB"/>
        </w:rPr>
        <w:t xml:space="preserve"> this week an updated mandate for starting talks with members of the WTO </w:t>
      </w:r>
      <w:r w:rsidR="00F040BE">
        <w:rPr>
          <w:rFonts w:ascii="Hind Light" w:hAnsi="Hind Light" w:cs="Hind Light"/>
          <w:bCs/>
          <w:sz w:val="20"/>
          <w:szCs w:val="20"/>
          <w:lang w:eastAsia="en-GB"/>
        </w:rPr>
        <w:t>to</w:t>
      </w:r>
      <w:r>
        <w:rPr>
          <w:rFonts w:ascii="Hind Light" w:hAnsi="Hind Light" w:cs="Hind Light"/>
          <w:bCs/>
          <w:sz w:val="20"/>
          <w:szCs w:val="20"/>
          <w:lang w:eastAsia="en-GB"/>
        </w:rPr>
        <w:t xml:space="preserve"> set up global rules for e-commerce. </w:t>
      </w:r>
    </w:p>
    <w:p w14:paraId="0871FABF" w14:textId="4CDD02FE" w:rsidR="001676F6" w:rsidRPr="001676F6" w:rsidRDefault="001676F6" w:rsidP="00B912D1">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mandate is an updated version of the Doha Development Agenda and now includes the EU’s position on e-commerce, allowing the European Commission to start plurilateral negotiations. </w:t>
      </w:r>
    </w:p>
    <w:p w14:paraId="55C8955A" w14:textId="24A07729" w:rsidR="001676F6" w:rsidRPr="001676F6" w:rsidRDefault="001676F6" w:rsidP="00B912D1">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The new rules should aim at “encouraging global e-commerce, facilitating the operations of business, in particular SMEs, strengthening consumers’ trust in the online environment and creating new opportunities to promote inclusive and sustainable growth and development”.</w:t>
      </w:r>
    </w:p>
    <w:p w14:paraId="3B082DD2" w14:textId="1E21DD4B" w:rsidR="001676F6" w:rsidRPr="001676F6" w:rsidRDefault="001676F6" w:rsidP="00B912D1">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Earlier this month, China circulated a </w:t>
      </w:r>
      <w:hyperlink r:id="rId20" w:history="1">
        <w:r w:rsidRPr="0061186E">
          <w:rPr>
            <w:rStyle w:val="Lienhypertexte"/>
            <w:rFonts w:ascii="Hind Light" w:hAnsi="Hind Light" w:cs="Hind Light"/>
            <w:bCs/>
            <w:sz w:val="20"/>
            <w:szCs w:val="20"/>
            <w:lang w:eastAsia="en-GB"/>
          </w:rPr>
          <w:t>proposal</w:t>
        </w:r>
      </w:hyperlink>
      <w:r>
        <w:rPr>
          <w:rFonts w:ascii="Hind Light" w:hAnsi="Hind Light" w:cs="Hind Light"/>
          <w:bCs/>
          <w:sz w:val="20"/>
          <w:szCs w:val="20"/>
          <w:lang w:eastAsia="en-GB"/>
        </w:rPr>
        <w:t xml:space="preserve"> on the reform of the WTO for the organisation to play a bigger role in global economic governance, including on Internet sovereignty, data security and privacy protection. </w:t>
      </w:r>
    </w:p>
    <w:p w14:paraId="799B5CC7" w14:textId="63BB1F92" w:rsidR="001676F6" w:rsidRPr="001676F6" w:rsidRDefault="001676F6" w:rsidP="00B912D1">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According to China, new rules for WTO should “respect members’ right to regulate and accommodate specific concerns of developing members” and should also “strike the balance among technological advantages, business development and such legitimate public policy objectives as Internet sovereignty, data security and privacy protection”. </w:t>
      </w:r>
    </w:p>
    <w:p w14:paraId="512E4783" w14:textId="6B3650E8" w:rsidR="001676F6" w:rsidRPr="001676F6" w:rsidRDefault="001676F6" w:rsidP="00B912D1">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China also called on the development of international rules that harmonise the recognition of electronic signatures and online consumer protection. </w:t>
      </w:r>
      <w:bookmarkEnd w:id="1"/>
    </w:p>
    <w:sectPr w:rsidR="001676F6" w:rsidRPr="001676F6" w:rsidSect="00CC5B49">
      <w:headerReference w:type="default" r:id="rId21"/>
      <w:footerReference w:type="default" r:id="rId22"/>
      <w:headerReference w:type="first" r:id="rId23"/>
      <w:footerReference w:type="first" r:id="rId24"/>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A57E9" w14:textId="77777777" w:rsidR="00B33301" w:rsidRDefault="00B33301" w:rsidP="0094598F">
      <w:r>
        <w:separator/>
      </w:r>
    </w:p>
  </w:endnote>
  <w:endnote w:type="continuationSeparator" w:id="0">
    <w:p w14:paraId="10841A85" w14:textId="77777777" w:rsidR="00B33301" w:rsidRDefault="00B33301"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687AF" w14:textId="77777777" w:rsidR="00B33301" w:rsidRDefault="00B33301" w:rsidP="0094598F">
      <w:r>
        <w:separator/>
      </w:r>
    </w:p>
  </w:footnote>
  <w:footnote w:type="continuationSeparator" w:id="0">
    <w:p w14:paraId="513A9B6B" w14:textId="77777777" w:rsidR="00B33301" w:rsidRDefault="00B33301"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1B73F679"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F656D5">
      <w:rPr>
        <w:spacing w:val="4"/>
        <w:szCs w:val="12"/>
      </w:rPr>
      <w:t>25</w:t>
    </w:r>
    <w:r w:rsidR="0090670A">
      <w:rPr>
        <w:spacing w:val="4"/>
        <w:szCs w:val="12"/>
      </w:rPr>
      <w:t xml:space="preserve"> </w:t>
    </w:r>
    <w:r w:rsidR="00AA536C">
      <w:rPr>
        <w:spacing w:val="4"/>
        <w:szCs w:val="12"/>
      </w:rPr>
      <w:t xml:space="preserve">May </w:t>
    </w:r>
    <w:r w:rsidR="001E1717" w:rsidRPr="001E1717">
      <w:rPr>
        <w:spacing w:val="4"/>
        <w:szCs w:val="12"/>
      </w:rPr>
      <w:t>2019</w:t>
    </w:r>
    <w:r w:rsidR="00786F1C">
      <w:rPr>
        <w:spacing w:val="4"/>
        <w:szCs w:val="12"/>
      </w:rPr>
      <w:t xml:space="preserve"> – </w:t>
    </w:r>
    <w:r w:rsidR="00F656D5">
      <w:rPr>
        <w:spacing w:val="4"/>
        <w:szCs w:val="12"/>
      </w:rPr>
      <w:t>31</w:t>
    </w:r>
    <w:r w:rsidR="00786F1C">
      <w:rPr>
        <w:spacing w:val="4"/>
        <w:szCs w:val="12"/>
      </w:rPr>
      <w:t xml:space="preserve"> May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0EBCF7DA" w:rsidR="0018126E" w:rsidRPr="00734569" w:rsidRDefault="001676F6" w:rsidP="006B1AFE">
          <w:pPr>
            <w:pStyle w:val="Coverdate"/>
          </w:pPr>
          <w:bookmarkStart w:id="3" w:name="_Hlk7111155"/>
          <w:r>
            <w:t>25</w:t>
          </w:r>
          <w:r w:rsidR="00AA536C">
            <w:t xml:space="preserve"> May</w:t>
          </w:r>
          <w:r w:rsidR="00D60DEC">
            <w:t xml:space="preserve"> 2019 </w:t>
          </w:r>
          <w:r w:rsidR="0018126E">
            <w:t>–</w:t>
          </w:r>
          <w:r w:rsidR="00BF6706">
            <w:t xml:space="preserve"> </w:t>
          </w:r>
          <w:r>
            <w:t>31</w:t>
          </w:r>
          <w:r w:rsidR="00786F1C">
            <w:t xml:space="preserve"> May</w:t>
          </w:r>
          <w:r w:rsidR="00AF4F48">
            <w:t xml:space="preserve"> </w:t>
          </w:r>
          <w:r w:rsidR="007E0789">
            <w:t>2019</w:t>
          </w:r>
        </w:p>
        <w:bookmarkEnd w:id="3"/>
        <w:p w14:paraId="10366F84"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4B53C4EF" w:rsidR="00E40BF3" w:rsidRPr="00734569" w:rsidRDefault="00E40BF3"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E382BB7"/>
    <w:multiLevelType w:val="hybridMultilevel"/>
    <w:tmpl w:val="923A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53486"/>
    <w:multiLevelType w:val="hybridMultilevel"/>
    <w:tmpl w:val="62C0C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43909"/>
    <w:multiLevelType w:val="hybridMultilevel"/>
    <w:tmpl w:val="9A94B2DE"/>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4" w15:restartNumberingAfterBreak="0">
    <w:nsid w:val="25D925CE"/>
    <w:multiLevelType w:val="hybridMultilevel"/>
    <w:tmpl w:val="2266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0C0B43"/>
    <w:multiLevelType w:val="hybridMultilevel"/>
    <w:tmpl w:val="8DD81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AF6837"/>
    <w:multiLevelType w:val="hybridMultilevel"/>
    <w:tmpl w:val="CB1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864520"/>
    <w:multiLevelType w:val="hybridMultilevel"/>
    <w:tmpl w:val="487E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067407"/>
    <w:multiLevelType w:val="hybridMultilevel"/>
    <w:tmpl w:val="ED4C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7"/>
  </w:num>
  <w:num w:numId="5">
    <w:abstractNumId w:val="5"/>
  </w:num>
  <w:num w:numId="6">
    <w:abstractNumId w:val="6"/>
  </w:num>
  <w:num w:numId="7">
    <w:abstractNumId w:val="1"/>
  </w:num>
  <w:num w:numId="8">
    <w:abstractNumId w:val="3"/>
  </w:num>
  <w:num w:numId="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50611"/>
    <w:rsid w:val="0015096D"/>
    <w:rsid w:val="00151164"/>
    <w:rsid w:val="00151730"/>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4E7A"/>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5BE"/>
    <w:rsid w:val="002A6C3A"/>
    <w:rsid w:val="002A79D5"/>
    <w:rsid w:val="002B020A"/>
    <w:rsid w:val="002B0878"/>
    <w:rsid w:val="002B1189"/>
    <w:rsid w:val="002B2068"/>
    <w:rsid w:val="002B227B"/>
    <w:rsid w:val="002B2FA5"/>
    <w:rsid w:val="002B4136"/>
    <w:rsid w:val="002B4FE1"/>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D35"/>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498"/>
    <w:rsid w:val="003845B1"/>
    <w:rsid w:val="00384ACA"/>
    <w:rsid w:val="003850AC"/>
    <w:rsid w:val="00385A84"/>
    <w:rsid w:val="003868FF"/>
    <w:rsid w:val="00386989"/>
    <w:rsid w:val="003869C5"/>
    <w:rsid w:val="00386F67"/>
    <w:rsid w:val="00387893"/>
    <w:rsid w:val="00387B31"/>
    <w:rsid w:val="00387C22"/>
    <w:rsid w:val="00390F5C"/>
    <w:rsid w:val="00391C3B"/>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845"/>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EFA"/>
    <w:rsid w:val="004B35A4"/>
    <w:rsid w:val="004B3647"/>
    <w:rsid w:val="004B3EE5"/>
    <w:rsid w:val="004B5016"/>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1EA"/>
    <w:rsid w:val="004E34F4"/>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94E"/>
    <w:rsid w:val="005D395F"/>
    <w:rsid w:val="005D3FA2"/>
    <w:rsid w:val="005D4006"/>
    <w:rsid w:val="005D41E7"/>
    <w:rsid w:val="005D4BBC"/>
    <w:rsid w:val="005D5731"/>
    <w:rsid w:val="005D57C0"/>
    <w:rsid w:val="005D5808"/>
    <w:rsid w:val="005D5873"/>
    <w:rsid w:val="005D5EE9"/>
    <w:rsid w:val="005D5F80"/>
    <w:rsid w:val="005D65C6"/>
    <w:rsid w:val="005D71D2"/>
    <w:rsid w:val="005D73DC"/>
    <w:rsid w:val="005D78BE"/>
    <w:rsid w:val="005E0D11"/>
    <w:rsid w:val="005E0DA7"/>
    <w:rsid w:val="005E1989"/>
    <w:rsid w:val="005E19AF"/>
    <w:rsid w:val="005E1F34"/>
    <w:rsid w:val="005E2A38"/>
    <w:rsid w:val="005E39B3"/>
    <w:rsid w:val="005E3E6D"/>
    <w:rsid w:val="005E4C92"/>
    <w:rsid w:val="005E4CF5"/>
    <w:rsid w:val="005E5C04"/>
    <w:rsid w:val="005E6A34"/>
    <w:rsid w:val="005E71DB"/>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BA5"/>
    <w:rsid w:val="0068218D"/>
    <w:rsid w:val="00682648"/>
    <w:rsid w:val="006828B8"/>
    <w:rsid w:val="006837FF"/>
    <w:rsid w:val="00683A6D"/>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39E3"/>
    <w:rsid w:val="00723B11"/>
    <w:rsid w:val="007242FE"/>
    <w:rsid w:val="00724D49"/>
    <w:rsid w:val="00725E86"/>
    <w:rsid w:val="00726A3B"/>
    <w:rsid w:val="0072700D"/>
    <w:rsid w:val="00727215"/>
    <w:rsid w:val="00731115"/>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21A"/>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B27"/>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1BF"/>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027"/>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36C"/>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01"/>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343"/>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2EAE"/>
    <w:rsid w:val="00BB38F7"/>
    <w:rsid w:val="00BB416C"/>
    <w:rsid w:val="00BB4782"/>
    <w:rsid w:val="00BB4A0E"/>
    <w:rsid w:val="00BB547D"/>
    <w:rsid w:val="00BB5999"/>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3FA0"/>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0B9E"/>
    <w:rsid w:val="00CB100C"/>
    <w:rsid w:val="00CB19DC"/>
    <w:rsid w:val="00CB1B55"/>
    <w:rsid w:val="00CB2227"/>
    <w:rsid w:val="00CB271E"/>
    <w:rsid w:val="00CB2E31"/>
    <w:rsid w:val="00CB34EF"/>
    <w:rsid w:val="00CB4F64"/>
    <w:rsid w:val="00CB5838"/>
    <w:rsid w:val="00CB5E6C"/>
    <w:rsid w:val="00CB6AC2"/>
    <w:rsid w:val="00CB71C2"/>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502"/>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A40"/>
    <w:rsid w:val="00DE2DFD"/>
    <w:rsid w:val="00DE3B43"/>
    <w:rsid w:val="00DE413B"/>
    <w:rsid w:val="00DE4AFC"/>
    <w:rsid w:val="00DE4BB2"/>
    <w:rsid w:val="00DE4CB2"/>
    <w:rsid w:val="00DE4F0D"/>
    <w:rsid w:val="00DE572C"/>
    <w:rsid w:val="00DE5B97"/>
    <w:rsid w:val="00DE6459"/>
    <w:rsid w:val="00DE7ACD"/>
    <w:rsid w:val="00DE7C77"/>
    <w:rsid w:val="00DF000F"/>
    <w:rsid w:val="00DF00EA"/>
    <w:rsid w:val="00DF0DF4"/>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BF3"/>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36A"/>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587"/>
    <w:rsid w:val="00E8062A"/>
    <w:rsid w:val="00E80BD1"/>
    <w:rsid w:val="00E811D5"/>
    <w:rsid w:val="00E82091"/>
    <w:rsid w:val="00E8234B"/>
    <w:rsid w:val="00E82538"/>
    <w:rsid w:val="00E8298E"/>
    <w:rsid w:val="00E83414"/>
    <w:rsid w:val="00E834B9"/>
    <w:rsid w:val="00E835B4"/>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D7572"/>
    <w:rsid w:val="00EE090B"/>
    <w:rsid w:val="00EE1032"/>
    <w:rsid w:val="00EE123D"/>
    <w:rsid w:val="00EE1D19"/>
    <w:rsid w:val="00EE2AC8"/>
    <w:rsid w:val="00EE3175"/>
    <w:rsid w:val="00EE3AF9"/>
    <w:rsid w:val="00EE3EE4"/>
    <w:rsid w:val="00EE3F2A"/>
    <w:rsid w:val="00EE55A7"/>
    <w:rsid w:val="00EE55FE"/>
    <w:rsid w:val="00EE5E4D"/>
    <w:rsid w:val="00EE6144"/>
    <w:rsid w:val="00EE659D"/>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0BE"/>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B9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4F66"/>
    <w:rsid w:val="00F95F6D"/>
    <w:rsid w:val="00F95FD2"/>
    <w:rsid w:val="00F963D6"/>
    <w:rsid w:val="00F96C41"/>
    <w:rsid w:val="00F97503"/>
    <w:rsid w:val="00F97835"/>
    <w:rsid w:val="00FA0508"/>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digital-single-market/en/news/map-wifi4eu-winners" TargetMode="External"/><Relationship Id="rId13" Type="http://schemas.openxmlformats.org/officeDocument/2006/relationships/hyperlink" Target="https://www.parlament.gv.at/PAKT/EU/XXVI/EU/06/61/EU_66173/imfname_10904911.pdf" TargetMode="External"/><Relationship Id="rId18" Type="http://schemas.openxmlformats.org/officeDocument/2006/relationships/hyperlink" Target="https://www.europarl.europa.eu/doceo/document/P-8-2019-001784-ASW_EN.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nato.int/cps/en/natohq/opinions_166039.htm" TargetMode="External"/><Relationship Id="rId17" Type="http://schemas.openxmlformats.org/officeDocument/2006/relationships/hyperlink" Target="https://www.europarl.europa.eu/doceo/document/P-8-2019-001784_EN.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c.europa.eu/digital-single-market/en/news/practical-guidance-businesses-how-process-mixed-datasets" TargetMode="External"/><Relationship Id="rId20" Type="http://schemas.openxmlformats.org/officeDocument/2006/relationships/hyperlink" Target="http://images.mofcom.gov.cn/sms/201905/20190514094326217.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forum.org/press/2019/05/world-economic-forum-inaugurates-global-councils-to-restore-trust-in-technology"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c.europa.eu/digital-single-market/en/free-flow-non-personal-data" TargetMode="External"/><Relationship Id="rId23" Type="http://schemas.openxmlformats.org/officeDocument/2006/relationships/header" Target="header2.xml"/><Relationship Id="rId10" Type="http://schemas.openxmlformats.org/officeDocument/2006/relationships/hyperlink" Target="https://www.bmwi.de/Redaktion/DE/Pressemitteilungen/2019/20190523-bundesregierung-staerkt-die-foerderung-kuenstlicher-intelligenz.html" TargetMode="External"/><Relationship Id="rId19" Type="http://schemas.openxmlformats.org/officeDocument/2006/relationships/hyperlink" Target="https://www.consilium.europa.eu/media/39505/st08993-ad01-en19.pdf?" TargetMode="External"/><Relationship Id="rId4" Type="http://schemas.openxmlformats.org/officeDocument/2006/relationships/settings" Target="settings.xml"/><Relationship Id="rId9" Type="http://schemas.openxmlformats.org/officeDocument/2006/relationships/hyperlink" Target="https://wifi4eu.ec.europa.eu/" TargetMode="External"/><Relationship Id="rId14" Type="http://schemas.openxmlformats.org/officeDocument/2006/relationships/hyperlink" Target="http://europa.eu/rapid/press-release_IP-19-2749_en.htm"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0BE18-9A13-234C-8219-D3FD56972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1311</Words>
  <Characters>7216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3</cp:revision>
  <cp:lastPrinted>2019-02-15T17:25:00Z</cp:lastPrinted>
  <dcterms:created xsi:type="dcterms:W3CDTF">2019-06-02T13:16:00Z</dcterms:created>
  <dcterms:modified xsi:type="dcterms:W3CDTF">2019-06-02T13:22:00Z</dcterms:modified>
</cp:coreProperties>
</file>