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ECD8F4" w14:textId="77777777" w:rsidR="00FE1FE6" w:rsidRPr="00FE1FE6" w:rsidRDefault="002E4DD2" w:rsidP="00FE1FE6">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F03169" w:rsidRPr="00AE42E9">
        <w:rPr>
          <w:rFonts w:ascii="Hind Light" w:eastAsia="Hind Light" w:hAnsi="Hind Light" w:cs="Hind Light"/>
          <w:color w:val="3A82E4"/>
        </w:rPr>
        <w:t xml:space="preserve"> </w:t>
      </w:r>
      <w:r w:rsidR="0094598F" w:rsidRPr="00AE42E9">
        <w:rPr>
          <w:rFonts w:ascii="Hind Light" w:eastAsia="Hind Light" w:hAnsi="Hind Light" w:cs="Hind Light"/>
          <w:color w:val="3A82E4"/>
        </w:rPr>
        <w:t>Access</w:t>
      </w:r>
    </w:p>
    <w:p w14:paraId="3A4BB36D" w14:textId="77777777" w:rsidR="002E4DD2" w:rsidRDefault="002E4DD2" w:rsidP="00B12E04">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Negotiations continue on European Electronic Communications Code</w:t>
      </w:r>
    </w:p>
    <w:p w14:paraId="052F2B93" w14:textId="4DF4DED2" w:rsidR="002E4DD2" w:rsidRPr="002E4DD2" w:rsidRDefault="004F5B80" w:rsidP="002E4DD2">
      <w:pPr>
        <w:pStyle w:val="Pardeliste"/>
        <w:numPr>
          <w:ilvl w:val="0"/>
          <w:numId w:val="10"/>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negotiations over the EU</w:t>
      </w:r>
      <w:r w:rsidR="002E4DD2">
        <w:rPr>
          <w:rFonts w:ascii="Hind Light" w:eastAsia="Hind Light" w:hAnsi="Hind Light" w:cs="Hind Light"/>
          <w:sz w:val="20"/>
          <w:szCs w:val="20"/>
        </w:rPr>
        <w:t xml:space="preserve"> future framework for the telecommunications sector continue with Parliament and Council still unable so far to find an agreement. The date for the next trilogue on the issue is tentatively scheduled for late May with a final trilogue due on 5 June.</w:t>
      </w:r>
    </w:p>
    <w:p w14:paraId="7DA76B1C" w14:textId="77777777" w:rsidR="002E4DD2" w:rsidRPr="002E4DD2" w:rsidRDefault="002E4DD2" w:rsidP="002E4DD2">
      <w:pPr>
        <w:pStyle w:val="Pardeliste"/>
        <w:numPr>
          <w:ilvl w:val="0"/>
          <w:numId w:val="10"/>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issue of symmetrical regulation continues to be a contentious one. Some countries have been pushing for an extension of these rules – which would allow them to impose access obligations on telecom operators even in situations where they do not have significant market power but are instead in a duopolistic market.</w:t>
      </w:r>
    </w:p>
    <w:p w14:paraId="5B1982C9" w14:textId="77777777" w:rsidR="00955959" w:rsidRDefault="00955959" w:rsidP="00955959">
      <w:pPr>
        <w:spacing w:line="280" w:lineRule="exact"/>
        <w:jc w:val="both"/>
        <w:rPr>
          <w:rFonts w:ascii="Hind Light" w:eastAsia="Hind Light" w:hAnsi="Hind Light" w:cs="Hind Light"/>
          <w:sz w:val="20"/>
          <w:szCs w:val="20"/>
          <w:lang w:val="en-US"/>
        </w:rPr>
      </w:pPr>
    </w:p>
    <w:p w14:paraId="7CBB42BD" w14:textId="77777777" w:rsidR="00955959" w:rsidRPr="00E77BC5" w:rsidRDefault="00955959" w:rsidP="00955959">
      <w:pPr>
        <w:spacing w:line="280" w:lineRule="exact"/>
        <w:jc w:val="both"/>
        <w:rPr>
          <w:rFonts w:ascii="Hind Light" w:eastAsia="Hind Light" w:hAnsi="Hind Light" w:cs="Hind Light"/>
          <w:b/>
          <w:sz w:val="20"/>
          <w:szCs w:val="20"/>
          <w:lang w:val="en-US"/>
        </w:rPr>
      </w:pPr>
      <w:r w:rsidRPr="00E77BC5">
        <w:rPr>
          <w:rFonts w:ascii="Hind Light" w:eastAsia="Hind Light" w:hAnsi="Hind Light" w:cs="Hind Light"/>
          <w:b/>
          <w:sz w:val="20"/>
          <w:szCs w:val="20"/>
          <w:lang w:val="en-US"/>
        </w:rPr>
        <w:t xml:space="preserve">EU: </w:t>
      </w:r>
      <w:r w:rsidR="00E77BC5" w:rsidRPr="00E77BC5">
        <w:rPr>
          <w:rFonts w:ascii="Hind Light" w:eastAsia="Hind Light" w:hAnsi="Hind Light" w:cs="Hind Light"/>
          <w:b/>
          <w:sz w:val="20"/>
          <w:szCs w:val="20"/>
          <w:lang w:val="en-US"/>
        </w:rPr>
        <w:t>Budget b</w:t>
      </w:r>
      <w:r w:rsidRPr="00E77BC5">
        <w:rPr>
          <w:rFonts w:ascii="Hind Light" w:eastAsia="Hind Light" w:hAnsi="Hind Light" w:cs="Hind Light"/>
          <w:b/>
          <w:sz w:val="20"/>
          <w:szCs w:val="20"/>
          <w:lang w:val="en-US"/>
        </w:rPr>
        <w:t xml:space="preserve">oost for digital investment, </w:t>
      </w:r>
      <w:r w:rsidR="00E77BC5" w:rsidRPr="00E77BC5">
        <w:rPr>
          <w:rFonts w:ascii="Hind Light" w:eastAsia="Hind Light" w:hAnsi="Hind Light" w:cs="Hind Light"/>
          <w:b/>
          <w:sz w:val="20"/>
          <w:szCs w:val="20"/>
          <w:lang w:val="en-US"/>
        </w:rPr>
        <w:t xml:space="preserve">but ambition still lacking says EP. </w:t>
      </w:r>
    </w:p>
    <w:p w14:paraId="36FC582D" w14:textId="77777777" w:rsidR="00E77BC5" w:rsidRDefault="00E77BC5" w:rsidP="00B911D6">
      <w:pPr>
        <w:numPr>
          <w:ilvl w:val="0"/>
          <w:numId w:val="3"/>
        </w:numPr>
        <w:spacing w:line="280" w:lineRule="exact"/>
        <w:jc w:val="both"/>
        <w:rPr>
          <w:rFonts w:ascii="Hind Light" w:eastAsia="Hind Light" w:hAnsi="Hind Light" w:cs="Hind Light"/>
          <w:sz w:val="20"/>
          <w:szCs w:val="20"/>
          <w:lang w:val="en-US"/>
        </w:rPr>
      </w:pPr>
      <w:r>
        <w:rPr>
          <w:rFonts w:ascii="Hind Light" w:eastAsia="Hind Light" w:hAnsi="Hind Light" w:cs="Hind Light"/>
          <w:sz w:val="20"/>
          <w:szCs w:val="20"/>
          <w:lang w:val="en-US"/>
        </w:rPr>
        <w:t>The Commission</w:t>
      </w:r>
      <w:r w:rsidR="008A7F1F">
        <w:rPr>
          <w:rFonts w:ascii="Hind Light" w:eastAsia="Hind Light" w:hAnsi="Hind Light" w:cs="Hind Light"/>
          <w:sz w:val="20"/>
          <w:szCs w:val="20"/>
          <w:lang w:val="en-US"/>
        </w:rPr>
        <w:t>’s</w:t>
      </w:r>
      <w:r>
        <w:rPr>
          <w:rFonts w:ascii="Hind Light" w:eastAsia="Hind Light" w:hAnsi="Hind Light" w:cs="Hind Light"/>
          <w:sz w:val="20"/>
          <w:szCs w:val="20"/>
          <w:lang w:val="en-US"/>
        </w:rPr>
        <w:t xml:space="preserve"> proposed budget for 2021 – 2027 includes a </w:t>
      </w:r>
      <w:hyperlink r:id="rId8" w:history="1">
        <w:r w:rsidRPr="008A7F1F">
          <w:rPr>
            <w:rStyle w:val="Lienhypertexte"/>
            <w:rFonts w:ascii="Hind Light" w:eastAsia="Hind Light" w:hAnsi="Hind Light" w:cs="Hind Light"/>
            <w:sz w:val="20"/>
            <w:szCs w:val="20"/>
            <w:lang w:val="en-US"/>
          </w:rPr>
          <w:t>64%</w:t>
        </w:r>
      </w:hyperlink>
      <w:r>
        <w:rPr>
          <w:rFonts w:ascii="Hind Light" w:eastAsia="Hind Light" w:hAnsi="Hind Light" w:cs="Hind Light"/>
          <w:sz w:val="20"/>
          <w:szCs w:val="20"/>
          <w:lang w:val="en-US"/>
        </w:rPr>
        <w:t xml:space="preserve"> increase in funds allocated to </w:t>
      </w:r>
      <w:hyperlink r:id="rId9" w:history="1">
        <w:r w:rsidR="008A7F1F">
          <w:rPr>
            <w:rStyle w:val="Lienhypertexte"/>
            <w:rFonts w:ascii="Hind Light" w:eastAsia="Hind Light" w:hAnsi="Hind Light" w:cs="Hind Light"/>
            <w:sz w:val="20"/>
            <w:szCs w:val="20"/>
            <w:lang w:val="en-US"/>
          </w:rPr>
          <w:t>R&amp;D&amp;I</w:t>
        </w:r>
      </w:hyperlink>
      <w:r w:rsidR="008A7F1F">
        <w:rPr>
          <w:rFonts w:ascii="Hind Light" w:eastAsia="Hind Light" w:hAnsi="Hind Light" w:cs="Hind Light"/>
          <w:sz w:val="20"/>
          <w:szCs w:val="20"/>
          <w:lang w:val="en-US"/>
        </w:rPr>
        <w:t xml:space="preserve"> as well as</w:t>
      </w:r>
      <w:r>
        <w:rPr>
          <w:rFonts w:ascii="Hind Light" w:eastAsia="Hind Light" w:hAnsi="Hind Light" w:cs="Hind Light"/>
          <w:sz w:val="20"/>
          <w:szCs w:val="20"/>
          <w:lang w:val="en-US"/>
        </w:rPr>
        <w:t xml:space="preserve"> </w:t>
      </w:r>
      <w:hyperlink r:id="rId10" w:history="1">
        <w:r w:rsidRPr="008A7F1F">
          <w:rPr>
            <w:rStyle w:val="Lienhypertexte"/>
            <w:rFonts w:ascii="Hind Light" w:eastAsia="Hind Light" w:hAnsi="Hind Light" w:cs="Hind Light"/>
            <w:sz w:val="20"/>
            <w:szCs w:val="20"/>
            <w:lang w:val="en-US"/>
          </w:rPr>
          <w:t>digital</w:t>
        </w:r>
      </w:hyperlink>
      <w:r>
        <w:rPr>
          <w:rFonts w:ascii="Hind Light" w:eastAsia="Hind Light" w:hAnsi="Hind Light" w:cs="Hind Light"/>
          <w:sz w:val="20"/>
          <w:szCs w:val="20"/>
          <w:lang w:val="en-US"/>
        </w:rPr>
        <w:t>.</w:t>
      </w:r>
    </w:p>
    <w:p w14:paraId="09CF9895" w14:textId="77777777" w:rsidR="00E77BC5" w:rsidRDefault="00E77BC5" w:rsidP="00B911D6">
      <w:pPr>
        <w:numPr>
          <w:ilvl w:val="0"/>
          <w:numId w:val="3"/>
        </w:numPr>
        <w:spacing w:line="280" w:lineRule="exact"/>
        <w:jc w:val="both"/>
        <w:rPr>
          <w:rFonts w:ascii="Hind Light" w:eastAsia="Hind Light" w:hAnsi="Hind Light" w:cs="Hind Light"/>
          <w:sz w:val="20"/>
          <w:szCs w:val="20"/>
          <w:lang w:val="en-US"/>
        </w:rPr>
      </w:pPr>
      <w:r>
        <w:rPr>
          <w:rFonts w:ascii="Hind Light" w:eastAsia="Hind Light" w:hAnsi="Hind Light" w:cs="Hind Light"/>
          <w:sz w:val="20"/>
          <w:szCs w:val="20"/>
          <w:lang w:val="en-US"/>
        </w:rPr>
        <w:t xml:space="preserve">The EU’s flagship R&amp;D programme Horizon2020 would be replaced by “HorizonEurope” and receive a 18% increase in funding from €80bn to €97.9bn, far below the </w:t>
      </w:r>
      <w:hyperlink r:id="rId11" w:history="1">
        <w:r w:rsidR="00FE64CD" w:rsidRPr="00FE64CD">
          <w:rPr>
            <w:rStyle w:val="Lienhypertexte"/>
            <w:rFonts w:ascii="Hind Light" w:eastAsia="Hind Light" w:hAnsi="Hind Light" w:cs="Hind Light"/>
            <w:sz w:val="20"/>
            <w:szCs w:val="20"/>
            <w:lang w:val="en-US"/>
          </w:rPr>
          <w:t>€120bn</w:t>
        </w:r>
      </w:hyperlink>
      <w:r w:rsidR="00FE64CD">
        <w:rPr>
          <w:rFonts w:ascii="Hind Light" w:eastAsia="Hind Light" w:hAnsi="Hind Light" w:cs="Hind Light"/>
          <w:sz w:val="20"/>
          <w:szCs w:val="20"/>
          <w:lang w:val="en-US"/>
        </w:rPr>
        <w:t xml:space="preserve"> </w:t>
      </w:r>
      <w:r>
        <w:rPr>
          <w:rFonts w:ascii="Hind Light" w:eastAsia="Hind Light" w:hAnsi="Hind Light" w:cs="Hind Light"/>
          <w:sz w:val="20"/>
          <w:szCs w:val="20"/>
          <w:lang w:val="en-US"/>
        </w:rPr>
        <w:t xml:space="preserve">called for by the European Parliament or the </w:t>
      </w:r>
      <w:hyperlink r:id="rId12" w:history="1">
        <w:r w:rsidRPr="00FE64CD">
          <w:rPr>
            <w:rStyle w:val="Lienhypertexte"/>
            <w:rFonts w:ascii="Hind Light" w:eastAsia="Hind Light" w:hAnsi="Hind Light" w:cs="Hind Light"/>
            <w:sz w:val="20"/>
            <w:szCs w:val="20"/>
            <w:lang w:val="en-US"/>
          </w:rPr>
          <w:t>€160bn</w:t>
        </w:r>
      </w:hyperlink>
      <w:r>
        <w:rPr>
          <w:rFonts w:ascii="Hind Light" w:eastAsia="Hind Light" w:hAnsi="Hind Light" w:cs="Hind Light"/>
          <w:sz w:val="20"/>
          <w:szCs w:val="20"/>
          <w:lang w:val="en-US"/>
        </w:rPr>
        <w:t xml:space="preserve"> which the EC had itself indicated as its preference back in February 2018. </w:t>
      </w:r>
    </w:p>
    <w:p w14:paraId="7C1D449F" w14:textId="77777777" w:rsidR="00E77BC5" w:rsidRDefault="00E77BC5" w:rsidP="00B911D6">
      <w:pPr>
        <w:numPr>
          <w:ilvl w:val="0"/>
          <w:numId w:val="3"/>
        </w:numPr>
        <w:spacing w:line="280" w:lineRule="exact"/>
        <w:jc w:val="both"/>
        <w:rPr>
          <w:rFonts w:ascii="Hind Light" w:eastAsia="Hind Light" w:hAnsi="Hind Light" w:cs="Hind Light"/>
          <w:sz w:val="20"/>
          <w:szCs w:val="20"/>
          <w:lang w:val="en-US"/>
        </w:rPr>
      </w:pPr>
      <w:r>
        <w:rPr>
          <w:rFonts w:ascii="Hind Light" w:eastAsia="Hind Light" w:hAnsi="Hind Light" w:cs="Hind Light"/>
          <w:sz w:val="20"/>
          <w:szCs w:val="20"/>
          <w:lang w:val="en-US"/>
        </w:rPr>
        <w:t xml:space="preserve">Digital spending will nonetheless benefit from a funding boost. The HorizonEurope programme will be complemented by a new </w:t>
      </w:r>
      <w:r w:rsidRPr="00E77BC5">
        <w:rPr>
          <w:rFonts w:ascii="Hind Light" w:eastAsia="Hind Light" w:hAnsi="Hind Light" w:cs="Hind Light"/>
          <w:sz w:val="20"/>
          <w:szCs w:val="20"/>
          <w:lang w:val="en-US"/>
        </w:rPr>
        <w:t xml:space="preserve">€9.2bn Digital Europe Programme </w:t>
      </w:r>
      <w:r>
        <w:rPr>
          <w:rFonts w:ascii="Hind Light" w:eastAsia="Hind Light" w:hAnsi="Hind Light" w:cs="Hind Light"/>
          <w:sz w:val="20"/>
          <w:szCs w:val="20"/>
          <w:lang w:val="en-US"/>
        </w:rPr>
        <w:t xml:space="preserve">dedicated entirely to projects on the Digital Single Market </w:t>
      </w:r>
      <w:r w:rsidR="00FE64CD">
        <w:rPr>
          <w:rFonts w:ascii="Hind Light" w:eastAsia="Hind Light" w:hAnsi="Hind Light" w:cs="Hind Light"/>
          <w:sz w:val="20"/>
          <w:szCs w:val="20"/>
          <w:lang w:val="en-US"/>
        </w:rPr>
        <w:t>with a focus on</w:t>
      </w:r>
      <w:r>
        <w:rPr>
          <w:rFonts w:ascii="Hind Light" w:eastAsia="Hind Light" w:hAnsi="Hind Light" w:cs="Hind Light"/>
          <w:sz w:val="20"/>
          <w:szCs w:val="20"/>
          <w:lang w:val="en-US"/>
        </w:rPr>
        <w:t xml:space="preserve"> Artificial Intelligence, high performance computing, cybersecurity, digital skills and digitizing industry. </w:t>
      </w:r>
    </w:p>
    <w:p w14:paraId="38D3A353" w14:textId="77777777" w:rsidR="00E77BC5" w:rsidRPr="00D256B9" w:rsidRDefault="00E77BC5" w:rsidP="00B911D6">
      <w:pPr>
        <w:numPr>
          <w:ilvl w:val="0"/>
          <w:numId w:val="3"/>
        </w:numPr>
        <w:spacing w:line="280" w:lineRule="exact"/>
        <w:jc w:val="both"/>
        <w:rPr>
          <w:rFonts w:ascii="Hind Light" w:eastAsia="Hind Light" w:hAnsi="Hind Light" w:cs="Hind Light"/>
          <w:sz w:val="20"/>
          <w:szCs w:val="20"/>
          <w:lang w:val="en-US"/>
        </w:rPr>
      </w:pPr>
      <w:r>
        <w:rPr>
          <w:rFonts w:ascii="Hind Light" w:eastAsia="Hind Light" w:hAnsi="Hind Light" w:cs="Hind Light"/>
          <w:sz w:val="20"/>
          <w:szCs w:val="20"/>
          <w:lang w:val="en-US"/>
        </w:rPr>
        <w:t xml:space="preserve">Overall, the combined investments of €12.2bn represent a </w:t>
      </w:r>
      <w:hyperlink r:id="rId13" w:history="1">
        <w:r w:rsidRPr="00FE64CD">
          <w:rPr>
            <w:rStyle w:val="Lienhypertexte"/>
            <w:rFonts w:ascii="Hind Light" w:eastAsia="Hind Light" w:hAnsi="Hind Light" w:cs="Hind Light"/>
            <w:sz w:val="20"/>
            <w:szCs w:val="20"/>
            <w:lang w:val="en-US"/>
          </w:rPr>
          <w:t>nine-fold increase</w:t>
        </w:r>
      </w:hyperlink>
      <w:r>
        <w:rPr>
          <w:rFonts w:ascii="Hind Light" w:eastAsia="Hind Light" w:hAnsi="Hind Light" w:cs="Hind Light"/>
          <w:sz w:val="20"/>
          <w:szCs w:val="20"/>
          <w:lang w:val="en-US"/>
        </w:rPr>
        <w:t xml:space="preserve"> of investments in digital transformation and networks compared to the last budget period. </w:t>
      </w:r>
    </w:p>
    <w:p w14:paraId="2A2D6F16" w14:textId="77777777" w:rsidR="00D256B9" w:rsidRDefault="00D256B9" w:rsidP="00955959">
      <w:pPr>
        <w:spacing w:line="280" w:lineRule="exact"/>
        <w:jc w:val="both"/>
        <w:rPr>
          <w:rFonts w:ascii="Hind Light" w:eastAsia="Hind Light" w:hAnsi="Hind Light" w:cs="Hind Light"/>
          <w:sz w:val="20"/>
          <w:szCs w:val="20"/>
          <w:lang w:val="en-US"/>
        </w:rPr>
      </w:pPr>
    </w:p>
    <w:p w14:paraId="2C0B60DB" w14:textId="77777777" w:rsidR="00D256B9" w:rsidRDefault="00D256B9" w:rsidP="00955959">
      <w:pPr>
        <w:spacing w:line="280" w:lineRule="exact"/>
        <w:jc w:val="both"/>
        <w:rPr>
          <w:rFonts w:ascii="Hind Light" w:eastAsia="Hind Light" w:hAnsi="Hind Light" w:cs="Hind Light"/>
          <w:b/>
          <w:sz w:val="20"/>
          <w:szCs w:val="20"/>
        </w:rPr>
      </w:pPr>
      <w:r w:rsidRPr="00241A74">
        <w:rPr>
          <w:rFonts w:ascii="Hind Light" w:eastAsia="Hind Light" w:hAnsi="Hind Light" w:cs="Hind Light"/>
          <w:b/>
          <w:sz w:val="20"/>
          <w:szCs w:val="20"/>
        </w:rPr>
        <w:t xml:space="preserve">EU: </w:t>
      </w:r>
      <w:r w:rsidR="00241A74" w:rsidRPr="00241A74">
        <w:rPr>
          <w:rFonts w:ascii="Hind Light" w:eastAsia="Hind Light" w:hAnsi="Hind Light" w:cs="Hind Light"/>
          <w:b/>
          <w:sz w:val="20"/>
          <w:szCs w:val="20"/>
        </w:rPr>
        <w:t xml:space="preserve">Commission </w:t>
      </w:r>
      <w:r w:rsidR="00FE64CD">
        <w:rPr>
          <w:rFonts w:ascii="Hind Light" w:eastAsia="Hind Light" w:hAnsi="Hind Light" w:cs="Hind Light"/>
          <w:b/>
          <w:sz w:val="20"/>
          <w:szCs w:val="20"/>
        </w:rPr>
        <w:t xml:space="preserve">maintains strong </w:t>
      </w:r>
      <w:r w:rsidR="00241A74" w:rsidRPr="00241A74">
        <w:rPr>
          <w:rFonts w:ascii="Hind Light" w:eastAsia="Hind Light" w:hAnsi="Hind Light" w:cs="Hind Light"/>
          <w:b/>
          <w:sz w:val="20"/>
          <w:szCs w:val="20"/>
        </w:rPr>
        <w:t xml:space="preserve">support </w:t>
      </w:r>
      <w:r w:rsidR="00FE64CD">
        <w:rPr>
          <w:rFonts w:ascii="Hind Light" w:eastAsia="Hind Light" w:hAnsi="Hind Light" w:cs="Hind Light"/>
          <w:b/>
          <w:sz w:val="20"/>
          <w:szCs w:val="20"/>
        </w:rPr>
        <w:t xml:space="preserve">for </w:t>
      </w:r>
      <w:r w:rsidR="00241A74" w:rsidRPr="00241A74">
        <w:rPr>
          <w:rFonts w:ascii="Hind Light" w:eastAsia="Hind Light" w:hAnsi="Hind Light" w:cs="Hind Light"/>
          <w:b/>
          <w:sz w:val="20"/>
          <w:szCs w:val="20"/>
        </w:rPr>
        <w:t>net neutrality policy</w:t>
      </w:r>
    </w:p>
    <w:p w14:paraId="4B8F7E6F" w14:textId="77777777" w:rsidR="00241A74" w:rsidRDefault="00241A74" w:rsidP="00B911D6">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European Commission has published its response to a </w:t>
      </w:r>
      <w:hyperlink r:id="rId14" w:history="1">
        <w:r w:rsidRPr="00241A74">
          <w:rPr>
            <w:rStyle w:val="Lienhypertexte"/>
            <w:rFonts w:ascii="Hind Light" w:eastAsia="Hind Light" w:hAnsi="Hind Light" w:cs="Hind Light"/>
            <w:sz w:val="20"/>
            <w:szCs w:val="20"/>
          </w:rPr>
          <w:t>parliamentary question</w:t>
        </w:r>
      </w:hyperlink>
      <w:r>
        <w:rPr>
          <w:rFonts w:ascii="Hind Light" w:eastAsia="Hind Light" w:hAnsi="Hind Light" w:cs="Hind Light"/>
          <w:sz w:val="20"/>
          <w:szCs w:val="20"/>
        </w:rPr>
        <w:t xml:space="preserve"> by MEP Giulia Moi </w:t>
      </w:r>
      <w:r w:rsidRPr="004B179D">
        <w:rPr>
          <w:rFonts w:ascii="Hind Light" w:eastAsia="Hind Light" w:hAnsi="Hind Light" w:cs="Hind Light"/>
          <w:sz w:val="20"/>
          <w:szCs w:val="20"/>
        </w:rPr>
        <w:t>(EFDD, Italy)</w:t>
      </w:r>
      <w:r>
        <w:rPr>
          <w:rFonts w:ascii="Hind Light" w:eastAsia="Hind Light" w:hAnsi="Hind Light" w:cs="Hind Light"/>
          <w:sz w:val="20"/>
          <w:szCs w:val="20"/>
        </w:rPr>
        <w:t xml:space="preserve"> asking what measures the EU would take to protect </w:t>
      </w:r>
      <w:r w:rsidR="00FE64CD">
        <w:rPr>
          <w:rFonts w:ascii="Hind Light" w:eastAsia="Hind Light" w:hAnsi="Hind Light" w:cs="Hind Light"/>
          <w:sz w:val="20"/>
          <w:szCs w:val="20"/>
        </w:rPr>
        <w:t>EU</w:t>
      </w:r>
      <w:r>
        <w:rPr>
          <w:rFonts w:ascii="Hind Light" w:eastAsia="Hind Light" w:hAnsi="Hind Light" w:cs="Hind Light"/>
          <w:sz w:val="20"/>
          <w:szCs w:val="20"/>
        </w:rPr>
        <w:t xml:space="preserve"> citizens who use US </w:t>
      </w:r>
      <w:r w:rsidR="002E4DD2">
        <w:rPr>
          <w:rFonts w:ascii="Hind Light" w:eastAsia="Hind Light" w:hAnsi="Hind Light" w:cs="Hind Light"/>
          <w:sz w:val="20"/>
          <w:szCs w:val="20"/>
        </w:rPr>
        <w:t>Internet</w:t>
      </w:r>
      <w:r>
        <w:rPr>
          <w:rFonts w:ascii="Hind Light" w:eastAsia="Hind Light" w:hAnsi="Hind Light" w:cs="Hind Light"/>
          <w:sz w:val="20"/>
          <w:szCs w:val="20"/>
        </w:rPr>
        <w:t xml:space="preserve"> connection services </w:t>
      </w:r>
      <w:r w:rsidR="00FE64CD">
        <w:rPr>
          <w:rFonts w:ascii="Hind Light" w:eastAsia="Hind Light" w:hAnsi="Hind Light" w:cs="Hind Light"/>
          <w:sz w:val="20"/>
          <w:szCs w:val="20"/>
        </w:rPr>
        <w:t xml:space="preserve">following the </w:t>
      </w:r>
      <w:r>
        <w:rPr>
          <w:rFonts w:ascii="Hind Light" w:eastAsia="Hind Light" w:hAnsi="Hind Light" w:cs="Hind Light"/>
          <w:sz w:val="20"/>
          <w:szCs w:val="20"/>
        </w:rPr>
        <w:t>US government’s decision to repeal its net neutrality rules.</w:t>
      </w:r>
    </w:p>
    <w:p w14:paraId="5AF25019" w14:textId="77777777" w:rsidR="00241A74" w:rsidRDefault="00241A74" w:rsidP="00B911D6">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lastRenderedPageBreak/>
        <w:t xml:space="preserve">The EC maintains its position of defending an open </w:t>
      </w:r>
      <w:r w:rsidR="002E4DD2">
        <w:rPr>
          <w:rFonts w:ascii="Hind Light" w:eastAsia="Hind Light" w:hAnsi="Hind Light" w:cs="Hind Light"/>
          <w:sz w:val="20"/>
          <w:szCs w:val="20"/>
        </w:rPr>
        <w:t>Internet</w:t>
      </w:r>
      <w:r>
        <w:rPr>
          <w:rFonts w:ascii="Hind Light" w:eastAsia="Hind Light" w:hAnsi="Hind Light" w:cs="Hind Light"/>
          <w:sz w:val="20"/>
          <w:szCs w:val="20"/>
        </w:rPr>
        <w:t xml:space="preserve">, citing the successful implementation of </w:t>
      </w:r>
      <w:r w:rsidR="002E4DD2">
        <w:rPr>
          <w:rFonts w:ascii="Hind Light" w:eastAsia="Hind Light" w:hAnsi="Hind Light" w:cs="Hind Light"/>
          <w:sz w:val="20"/>
          <w:szCs w:val="20"/>
        </w:rPr>
        <w:t>the</w:t>
      </w:r>
      <w:r>
        <w:rPr>
          <w:rFonts w:ascii="Hind Light" w:eastAsia="Hind Light" w:hAnsi="Hind Light" w:cs="Hind Light"/>
          <w:sz w:val="20"/>
          <w:szCs w:val="20"/>
        </w:rPr>
        <w:t xml:space="preserve"> 2015 </w:t>
      </w:r>
      <w:hyperlink r:id="rId15" w:history="1">
        <w:r w:rsidRPr="00241A74">
          <w:rPr>
            <w:rStyle w:val="Lienhypertexte"/>
            <w:rFonts w:ascii="Hind Light" w:eastAsia="Hind Light" w:hAnsi="Hind Light" w:cs="Hind Light"/>
            <w:sz w:val="20"/>
            <w:szCs w:val="20"/>
          </w:rPr>
          <w:t>Regulation</w:t>
        </w:r>
      </w:hyperlink>
      <w:r>
        <w:rPr>
          <w:rFonts w:ascii="Hind Light" w:eastAsia="Hind Light" w:hAnsi="Hind Light" w:cs="Hind Light"/>
          <w:sz w:val="20"/>
          <w:szCs w:val="20"/>
        </w:rPr>
        <w:t xml:space="preserve"> on open </w:t>
      </w:r>
      <w:r w:rsidR="002E4DD2">
        <w:rPr>
          <w:rFonts w:ascii="Hind Light" w:eastAsia="Hind Light" w:hAnsi="Hind Light" w:cs="Hind Light"/>
          <w:sz w:val="20"/>
          <w:szCs w:val="20"/>
        </w:rPr>
        <w:t>Internet</w:t>
      </w:r>
      <w:r>
        <w:rPr>
          <w:rFonts w:ascii="Hind Light" w:eastAsia="Hind Light" w:hAnsi="Hind Light" w:cs="Hind Light"/>
          <w:sz w:val="20"/>
          <w:szCs w:val="20"/>
        </w:rPr>
        <w:t xml:space="preserve"> access that gives European end-users the right to access and distribute the information, content, applications and services of their choice </w:t>
      </w:r>
      <w:r w:rsidR="00FE64CD">
        <w:rPr>
          <w:rFonts w:ascii="Hind Light" w:eastAsia="Hind Light" w:hAnsi="Hind Light" w:cs="Hind Light"/>
          <w:sz w:val="20"/>
          <w:szCs w:val="20"/>
        </w:rPr>
        <w:t xml:space="preserve">while banning </w:t>
      </w:r>
      <w:r>
        <w:rPr>
          <w:rFonts w:ascii="Hind Light" w:eastAsia="Hind Light" w:hAnsi="Hind Light" w:cs="Hind Light"/>
          <w:sz w:val="20"/>
          <w:szCs w:val="20"/>
        </w:rPr>
        <w:t xml:space="preserve">blocking, throttling and discrimination between content or services. </w:t>
      </w:r>
    </w:p>
    <w:p w14:paraId="1CF7BEE1" w14:textId="77777777" w:rsidR="00241A74" w:rsidRPr="00241A74" w:rsidRDefault="00241A74" w:rsidP="00B911D6">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Commission said in its reply that it will continue to </w:t>
      </w:r>
      <w:r w:rsidR="00FE64CD">
        <w:rPr>
          <w:rFonts w:ascii="Hind Light" w:eastAsia="Hind Light" w:hAnsi="Hind Light" w:cs="Hind Light"/>
          <w:sz w:val="20"/>
          <w:szCs w:val="20"/>
        </w:rPr>
        <w:t xml:space="preserve">closely </w:t>
      </w:r>
      <w:r>
        <w:rPr>
          <w:rFonts w:ascii="Hind Light" w:eastAsia="Hind Light" w:hAnsi="Hind Light" w:cs="Hind Light"/>
          <w:sz w:val="20"/>
          <w:szCs w:val="20"/>
        </w:rPr>
        <w:t xml:space="preserve">monitor the situation in the US. </w:t>
      </w:r>
    </w:p>
    <w:p w14:paraId="67627183" w14:textId="77777777" w:rsidR="00C92B42" w:rsidRPr="00241A74" w:rsidRDefault="00C92B42" w:rsidP="00C92B42">
      <w:pPr>
        <w:spacing w:line="280" w:lineRule="exact"/>
        <w:jc w:val="both"/>
        <w:rPr>
          <w:rFonts w:ascii="Hind Light" w:eastAsia="Hind Light" w:hAnsi="Hind Light" w:cs="Hind Light"/>
          <w:sz w:val="20"/>
          <w:szCs w:val="20"/>
        </w:rPr>
      </w:pPr>
    </w:p>
    <w:p w14:paraId="46A99C23" w14:textId="77777777" w:rsidR="00C832DE" w:rsidRDefault="0094598F" w:rsidP="00FE1FE6">
      <w:pPr>
        <w:spacing w:after="200" w:line="280" w:lineRule="exact"/>
        <w:jc w:val="both"/>
        <w:rPr>
          <w:rFonts w:ascii="Hind Light" w:eastAsia="Hind Light" w:hAnsi="Hind Light" w:cs="Hind Light"/>
          <w:color w:val="3A82E4"/>
          <w:szCs w:val="20"/>
        </w:rPr>
      </w:pPr>
      <w:r w:rsidRPr="00D050EA">
        <w:rPr>
          <w:rFonts w:ascii="Hind Light" w:eastAsia="Hind Light" w:hAnsi="Hind Light" w:cs="Hind Light"/>
          <w:color w:val="3A82E4"/>
          <w:szCs w:val="20"/>
        </w:rPr>
        <w:t xml:space="preserve">Trust </w:t>
      </w:r>
      <w:bookmarkEnd w:id="0"/>
    </w:p>
    <w:p w14:paraId="73D7B39E" w14:textId="77777777" w:rsidR="00C832DE" w:rsidRPr="004B179D" w:rsidRDefault="00C832DE" w:rsidP="00C832DE">
      <w:pPr>
        <w:spacing w:line="280" w:lineRule="exact"/>
        <w:jc w:val="both"/>
        <w:rPr>
          <w:rFonts w:ascii="Hind Light" w:eastAsia="Hind Light" w:hAnsi="Hind Light" w:cs="Hind Light"/>
          <w:b/>
          <w:sz w:val="20"/>
          <w:szCs w:val="20"/>
        </w:rPr>
      </w:pPr>
      <w:r w:rsidRPr="004B179D">
        <w:rPr>
          <w:rFonts w:ascii="Hind Light" w:eastAsia="Hind Light" w:hAnsi="Hind Light" w:cs="Hind Light"/>
          <w:b/>
          <w:sz w:val="20"/>
          <w:szCs w:val="20"/>
        </w:rPr>
        <w:t>EU</w:t>
      </w:r>
      <w:r w:rsidR="00FE1FE6" w:rsidRPr="004B179D">
        <w:rPr>
          <w:rFonts w:ascii="Hind Light" w:eastAsia="Hind Light" w:hAnsi="Hind Light" w:cs="Hind Light"/>
          <w:b/>
          <w:sz w:val="20"/>
          <w:szCs w:val="20"/>
        </w:rPr>
        <w:t xml:space="preserve">: </w:t>
      </w:r>
      <w:r w:rsidR="004B179D" w:rsidRPr="004B179D">
        <w:rPr>
          <w:rFonts w:ascii="Hind Light" w:eastAsia="Hind Light" w:hAnsi="Hind Light" w:cs="Hind Light"/>
          <w:b/>
          <w:sz w:val="20"/>
          <w:szCs w:val="20"/>
        </w:rPr>
        <w:t>Andr</w:t>
      </w:r>
      <w:r w:rsidR="00FE64CD">
        <w:rPr>
          <w:rFonts w:ascii="Hind Light" w:eastAsia="Hind Light" w:hAnsi="Hind Light" w:cs="Hind Light"/>
          <w:b/>
          <w:sz w:val="20"/>
          <w:szCs w:val="20"/>
        </w:rPr>
        <w:t>u</w:t>
      </w:r>
      <w:r w:rsidR="004B179D" w:rsidRPr="004B179D">
        <w:rPr>
          <w:rFonts w:ascii="Hind Light" w:eastAsia="Hind Light" w:hAnsi="Hind Light" w:cs="Hind Light"/>
          <w:b/>
          <w:sz w:val="20"/>
          <w:szCs w:val="20"/>
        </w:rPr>
        <w:t>s Ansip urges rapid up-tak</w:t>
      </w:r>
      <w:r w:rsidR="004B179D">
        <w:rPr>
          <w:rFonts w:ascii="Hind Light" w:eastAsia="Hind Light" w:hAnsi="Hind Light" w:cs="Hind Light"/>
          <w:b/>
          <w:sz w:val="20"/>
          <w:szCs w:val="20"/>
        </w:rPr>
        <w:t xml:space="preserve">e of the eIDAS legislation </w:t>
      </w:r>
    </w:p>
    <w:p w14:paraId="3512AA7D" w14:textId="77777777" w:rsidR="009A6576" w:rsidRPr="00E311DB" w:rsidRDefault="00E311DB" w:rsidP="00B911D6">
      <w:pPr>
        <w:pStyle w:val="Pardeliste"/>
        <w:numPr>
          <w:ilvl w:val="0"/>
          <w:numId w:val="2"/>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Online trust is closely linked to digital identity and authentication, highlights Commissioner </w:t>
      </w:r>
      <w:r w:rsidR="00FE64CD">
        <w:rPr>
          <w:rFonts w:ascii="Hind Light" w:eastAsia="Hind Light" w:hAnsi="Hind Light" w:cs="Hind Light"/>
          <w:sz w:val="20"/>
          <w:szCs w:val="20"/>
        </w:rPr>
        <w:t xml:space="preserve">for Digital Single Market </w:t>
      </w:r>
      <w:r>
        <w:rPr>
          <w:rFonts w:ascii="Hind Light" w:eastAsia="Hind Light" w:hAnsi="Hind Light" w:cs="Hind Light"/>
          <w:sz w:val="20"/>
          <w:szCs w:val="20"/>
        </w:rPr>
        <w:t>Andr</w:t>
      </w:r>
      <w:r w:rsidR="00FE64CD">
        <w:rPr>
          <w:rFonts w:ascii="Hind Light" w:eastAsia="Hind Light" w:hAnsi="Hind Light" w:cs="Hind Light"/>
          <w:sz w:val="20"/>
          <w:szCs w:val="20"/>
        </w:rPr>
        <w:t>u</w:t>
      </w:r>
      <w:r>
        <w:rPr>
          <w:rFonts w:ascii="Hind Light" w:eastAsia="Hind Light" w:hAnsi="Hind Light" w:cs="Hind Light"/>
          <w:sz w:val="20"/>
          <w:szCs w:val="20"/>
        </w:rPr>
        <w:t xml:space="preserve">s Ansip in his latest </w:t>
      </w:r>
      <w:hyperlink r:id="rId16" w:history="1">
        <w:r w:rsidRPr="0008121A">
          <w:rPr>
            <w:rStyle w:val="Lienhypertexte"/>
            <w:rFonts w:ascii="Hind Light" w:eastAsia="Hind Light" w:hAnsi="Hind Light" w:cs="Hind Light"/>
            <w:sz w:val="20"/>
            <w:szCs w:val="20"/>
          </w:rPr>
          <w:t>blog</w:t>
        </w:r>
      </w:hyperlink>
      <w:r>
        <w:rPr>
          <w:rFonts w:ascii="Hind Light" w:eastAsia="Hind Light" w:hAnsi="Hind Light" w:cs="Hind Light"/>
          <w:sz w:val="20"/>
          <w:szCs w:val="20"/>
        </w:rPr>
        <w:t xml:space="preserve">, and as the number of </w:t>
      </w:r>
      <w:r w:rsidR="00FE64CD">
        <w:rPr>
          <w:rFonts w:ascii="Hind Light" w:eastAsia="Hind Light" w:hAnsi="Hind Light" w:cs="Hind Light"/>
          <w:sz w:val="20"/>
          <w:szCs w:val="20"/>
        </w:rPr>
        <w:t xml:space="preserve">online </w:t>
      </w:r>
      <w:r>
        <w:rPr>
          <w:rFonts w:ascii="Hind Light" w:eastAsia="Hind Light" w:hAnsi="Hind Light" w:cs="Hind Light"/>
          <w:sz w:val="20"/>
          <w:szCs w:val="20"/>
        </w:rPr>
        <w:t>transactions increases, so will the importance of trusted electronic identification (eID), e-signatures and e-seals.</w:t>
      </w:r>
    </w:p>
    <w:p w14:paraId="28233B14" w14:textId="77777777" w:rsidR="00E311DB" w:rsidRDefault="00E311DB" w:rsidP="00B911D6">
      <w:pPr>
        <w:pStyle w:val="Pardeliste"/>
        <w:numPr>
          <w:ilvl w:val="0"/>
          <w:numId w:val="2"/>
        </w:numPr>
        <w:spacing w:line="280" w:lineRule="exact"/>
        <w:jc w:val="both"/>
        <w:rPr>
          <w:rFonts w:ascii="Hind Light" w:eastAsia="Hind Light" w:hAnsi="Hind Light" w:cs="Hind Light"/>
          <w:sz w:val="20"/>
          <w:szCs w:val="20"/>
        </w:rPr>
      </w:pPr>
      <w:r w:rsidRPr="00E311DB">
        <w:rPr>
          <w:rFonts w:ascii="Hind Light" w:eastAsia="Hind Light" w:hAnsi="Hind Light" w:cs="Hind Light"/>
          <w:sz w:val="20"/>
          <w:szCs w:val="20"/>
        </w:rPr>
        <w:t>To</w:t>
      </w:r>
      <w:r>
        <w:rPr>
          <w:rFonts w:ascii="Hind Light" w:eastAsia="Hind Light" w:hAnsi="Hind Light" w:cs="Hind Light"/>
          <w:sz w:val="20"/>
          <w:szCs w:val="20"/>
        </w:rPr>
        <w:t xml:space="preserve"> increase the use of online trust services, the Commission designed the </w:t>
      </w:r>
      <w:hyperlink r:id="rId17" w:history="1">
        <w:r w:rsidRPr="0008121A">
          <w:rPr>
            <w:rStyle w:val="Lienhypertexte"/>
            <w:rFonts w:ascii="Hind Light" w:eastAsia="Hind Light" w:hAnsi="Hind Light" w:cs="Hind Light"/>
            <w:sz w:val="20"/>
            <w:szCs w:val="20"/>
          </w:rPr>
          <w:t xml:space="preserve">eIDAS </w:t>
        </w:r>
        <w:r w:rsidR="0008121A" w:rsidRPr="0008121A">
          <w:rPr>
            <w:rStyle w:val="Lienhypertexte"/>
            <w:rFonts w:ascii="Hind Light" w:eastAsia="Hind Light" w:hAnsi="Hind Light" w:cs="Hind Light"/>
            <w:sz w:val="20"/>
            <w:szCs w:val="20"/>
          </w:rPr>
          <w:t>R</w:t>
        </w:r>
        <w:r w:rsidRPr="0008121A">
          <w:rPr>
            <w:rStyle w:val="Lienhypertexte"/>
            <w:rFonts w:ascii="Hind Light" w:eastAsia="Hind Light" w:hAnsi="Hind Light" w:cs="Hind Light"/>
            <w:sz w:val="20"/>
            <w:szCs w:val="20"/>
          </w:rPr>
          <w:t>egulation</w:t>
        </w:r>
      </w:hyperlink>
      <w:r>
        <w:rPr>
          <w:rFonts w:ascii="Hind Light" w:eastAsia="Hind Light" w:hAnsi="Hind Light" w:cs="Hind Light"/>
          <w:sz w:val="20"/>
          <w:szCs w:val="20"/>
        </w:rPr>
        <w:t xml:space="preserve"> </w:t>
      </w:r>
      <w:r w:rsidR="0008121A">
        <w:rPr>
          <w:rFonts w:ascii="Hind Light" w:eastAsia="Hind Light" w:hAnsi="Hind Light" w:cs="Hind Light"/>
          <w:sz w:val="20"/>
          <w:szCs w:val="20"/>
        </w:rPr>
        <w:t>(Regulation on electronic identification and t</w:t>
      </w:r>
      <w:r w:rsidR="00CD52A2">
        <w:rPr>
          <w:rFonts w:ascii="Hind Light" w:eastAsia="Hind Light" w:hAnsi="Hind Light" w:cs="Hind Light"/>
          <w:sz w:val="20"/>
          <w:szCs w:val="20"/>
        </w:rPr>
        <w:t xml:space="preserve">rust services for electronic transactions) </w:t>
      </w:r>
      <w:r>
        <w:rPr>
          <w:rFonts w:ascii="Hind Light" w:eastAsia="Hind Light" w:hAnsi="Hind Light" w:cs="Hind Light"/>
          <w:sz w:val="20"/>
          <w:szCs w:val="20"/>
        </w:rPr>
        <w:t>to help people in the EU safely shop online or use financial and public services</w:t>
      </w:r>
      <w:r w:rsidR="00FE64CD">
        <w:rPr>
          <w:rFonts w:ascii="Hind Light" w:eastAsia="Hind Light" w:hAnsi="Hind Light" w:cs="Hind Light"/>
          <w:sz w:val="20"/>
          <w:szCs w:val="20"/>
        </w:rPr>
        <w:t xml:space="preserve">. The Regulation sets out measure for the </w:t>
      </w:r>
      <w:r>
        <w:rPr>
          <w:rFonts w:ascii="Hind Light" w:eastAsia="Hind Light" w:hAnsi="Hind Light" w:cs="Hind Light"/>
          <w:sz w:val="20"/>
          <w:szCs w:val="20"/>
        </w:rPr>
        <w:t xml:space="preserve">mutual recognition of national systems. </w:t>
      </w:r>
    </w:p>
    <w:p w14:paraId="6A9E348C" w14:textId="77777777" w:rsidR="0008121A" w:rsidRDefault="0008121A" w:rsidP="00B911D6">
      <w:pPr>
        <w:pStyle w:val="Pardeliste"/>
        <w:numPr>
          <w:ilvl w:val="0"/>
          <w:numId w:val="2"/>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But for the legislation to work, the EU’s countries must first notify its chosen system for electronic identification to</w:t>
      </w:r>
      <w:r w:rsidR="00FE64CD">
        <w:rPr>
          <w:rFonts w:ascii="Hind Light" w:eastAsia="Hind Light" w:hAnsi="Hind Light" w:cs="Hind Light"/>
          <w:sz w:val="20"/>
          <w:szCs w:val="20"/>
        </w:rPr>
        <w:t xml:space="preserve"> the Commission and to</w:t>
      </w:r>
      <w:r>
        <w:rPr>
          <w:rFonts w:ascii="Hind Light" w:eastAsia="Hind Light" w:hAnsi="Hind Light" w:cs="Hind Light"/>
          <w:sz w:val="20"/>
          <w:szCs w:val="20"/>
        </w:rPr>
        <w:t xml:space="preserve"> other EU countries, something that only six out of 28 countries (Germany, Italy, Croatia, Estonia, Luxembourg, Spain) have done so far.</w:t>
      </w:r>
    </w:p>
    <w:p w14:paraId="5252C73C" w14:textId="77777777" w:rsidR="00E311DB" w:rsidRDefault="0008121A" w:rsidP="00B911D6">
      <w:pPr>
        <w:pStyle w:val="Pardeliste"/>
        <w:numPr>
          <w:ilvl w:val="0"/>
          <w:numId w:val="2"/>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Commissioner Ansip points out that with the </w:t>
      </w:r>
      <w:r w:rsidR="00E311DB">
        <w:rPr>
          <w:rFonts w:ascii="Hind Light" w:eastAsia="Hind Light" w:hAnsi="Hind Light" w:cs="Hind Light"/>
          <w:sz w:val="20"/>
          <w:szCs w:val="20"/>
        </w:rPr>
        <w:t xml:space="preserve">legislation </w:t>
      </w:r>
      <w:r>
        <w:rPr>
          <w:rFonts w:ascii="Hind Light" w:eastAsia="Hind Light" w:hAnsi="Hind Light" w:cs="Hind Light"/>
          <w:sz w:val="20"/>
          <w:szCs w:val="20"/>
        </w:rPr>
        <w:t xml:space="preserve">coming </w:t>
      </w:r>
      <w:r w:rsidR="00E311DB">
        <w:rPr>
          <w:rFonts w:ascii="Hind Light" w:eastAsia="Hind Light" w:hAnsi="Hind Light" w:cs="Hind Light"/>
          <w:sz w:val="20"/>
          <w:szCs w:val="20"/>
        </w:rPr>
        <w:t>into force in September this year</w:t>
      </w:r>
      <w:r w:rsidR="00FE64CD">
        <w:rPr>
          <w:rFonts w:ascii="Hind Light" w:eastAsia="Hind Light" w:hAnsi="Hind Light" w:cs="Hind Light"/>
          <w:sz w:val="20"/>
          <w:szCs w:val="20"/>
        </w:rPr>
        <w:t>,</w:t>
      </w:r>
      <w:r w:rsidR="00E311DB">
        <w:rPr>
          <w:rFonts w:ascii="Hind Light" w:eastAsia="Hind Light" w:hAnsi="Hind Light" w:cs="Hind Light"/>
          <w:sz w:val="20"/>
          <w:szCs w:val="20"/>
        </w:rPr>
        <w:t xml:space="preserve"> </w:t>
      </w:r>
      <w:r>
        <w:rPr>
          <w:rFonts w:ascii="Hind Light" w:eastAsia="Hind Light" w:hAnsi="Hind Light" w:cs="Hind Light"/>
          <w:sz w:val="20"/>
          <w:szCs w:val="20"/>
        </w:rPr>
        <w:t xml:space="preserve">the deadline for cross-border mutual recognition is fast approaching, </w:t>
      </w:r>
      <w:r w:rsidR="00FE64CD">
        <w:rPr>
          <w:rFonts w:ascii="Hind Light" w:eastAsia="Hind Light" w:hAnsi="Hind Light" w:cs="Hind Light"/>
          <w:sz w:val="20"/>
          <w:szCs w:val="20"/>
        </w:rPr>
        <w:t>and urges</w:t>
      </w:r>
      <w:r>
        <w:rPr>
          <w:rFonts w:ascii="Hind Light" w:eastAsia="Hind Light" w:hAnsi="Hind Light" w:cs="Hind Light"/>
          <w:sz w:val="20"/>
          <w:szCs w:val="20"/>
        </w:rPr>
        <w:t xml:space="preserve"> all other Member States to </w:t>
      </w:r>
      <w:r w:rsidR="00FE64CD">
        <w:rPr>
          <w:rFonts w:ascii="Hind Light" w:eastAsia="Hind Light" w:hAnsi="Hind Light" w:cs="Hind Light"/>
          <w:sz w:val="20"/>
          <w:szCs w:val="20"/>
        </w:rPr>
        <w:t>take action in order to boost online security</w:t>
      </w:r>
      <w:r>
        <w:rPr>
          <w:rFonts w:ascii="Hind Light" w:eastAsia="Hind Light" w:hAnsi="Hind Light" w:cs="Hind Light"/>
          <w:sz w:val="20"/>
          <w:szCs w:val="20"/>
        </w:rPr>
        <w:t xml:space="preserve">. </w:t>
      </w:r>
      <w:r w:rsidR="00E311DB">
        <w:rPr>
          <w:rFonts w:ascii="Hind Light" w:eastAsia="Hind Light" w:hAnsi="Hind Light" w:cs="Hind Light"/>
          <w:sz w:val="20"/>
          <w:szCs w:val="20"/>
        </w:rPr>
        <w:t xml:space="preserve"> </w:t>
      </w:r>
    </w:p>
    <w:p w14:paraId="4CB2239C" w14:textId="77777777" w:rsidR="00CD52A2" w:rsidRDefault="00CD52A2" w:rsidP="00CD52A2">
      <w:pPr>
        <w:spacing w:line="280" w:lineRule="exact"/>
        <w:jc w:val="both"/>
        <w:rPr>
          <w:rFonts w:ascii="Hind Light" w:eastAsia="Hind Light" w:hAnsi="Hind Light" w:cs="Hind Light"/>
          <w:sz w:val="20"/>
          <w:szCs w:val="20"/>
        </w:rPr>
      </w:pPr>
    </w:p>
    <w:p w14:paraId="690CF734" w14:textId="77777777" w:rsidR="00382AED" w:rsidRDefault="00382AED" w:rsidP="00CD52A2">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Minister Mahjoubi and Commissioner Gabriel set out joint vision on platform regulation</w:t>
      </w:r>
    </w:p>
    <w:p w14:paraId="3174766F" w14:textId="77777777" w:rsidR="00382AED" w:rsidRDefault="00382AED" w:rsidP="00B911D6">
      <w:pPr>
        <w:pStyle w:val="Pardeliste"/>
        <w:numPr>
          <w:ilvl w:val="0"/>
          <w:numId w:val="7"/>
        </w:numPr>
        <w:spacing w:line="280" w:lineRule="exact"/>
        <w:jc w:val="both"/>
        <w:rPr>
          <w:rFonts w:ascii="Hind Light" w:eastAsia="Hind Light" w:hAnsi="Hind Light" w:cs="Hind Light"/>
          <w:sz w:val="20"/>
          <w:szCs w:val="20"/>
        </w:rPr>
      </w:pPr>
      <w:r w:rsidRPr="00382AED">
        <w:rPr>
          <w:rFonts w:ascii="Hind Light" w:eastAsia="Hind Light" w:hAnsi="Hind Light" w:cs="Hind Light"/>
          <w:sz w:val="20"/>
          <w:szCs w:val="20"/>
        </w:rPr>
        <w:t xml:space="preserve">Digital </w:t>
      </w:r>
      <w:r w:rsidR="00FE64CD">
        <w:rPr>
          <w:rFonts w:ascii="Hind Light" w:eastAsia="Hind Light" w:hAnsi="Hind Light" w:cs="Hind Light"/>
          <w:sz w:val="20"/>
          <w:szCs w:val="20"/>
        </w:rPr>
        <w:t xml:space="preserve">Economy and Society </w:t>
      </w:r>
      <w:r w:rsidRPr="00382AED">
        <w:rPr>
          <w:rFonts w:ascii="Hind Light" w:eastAsia="Hind Light" w:hAnsi="Hind Light" w:cs="Hind Light"/>
          <w:sz w:val="20"/>
          <w:szCs w:val="20"/>
        </w:rPr>
        <w:t>Commissioner Mariya Gabriel and France’s digital secretary, Mounir Mahjoubi</w:t>
      </w:r>
      <w:r>
        <w:rPr>
          <w:rFonts w:ascii="Hind Light" w:eastAsia="Hind Light" w:hAnsi="Hind Light" w:cs="Hind Light"/>
          <w:sz w:val="20"/>
          <w:szCs w:val="20"/>
        </w:rPr>
        <w:t xml:space="preserve">, laid out a common approach for </w:t>
      </w:r>
      <w:r w:rsidR="002958B3">
        <w:rPr>
          <w:rFonts w:ascii="Hind Light" w:eastAsia="Hind Light" w:hAnsi="Hind Light" w:cs="Hind Light"/>
          <w:sz w:val="20"/>
          <w:szCs w:val="20"/>
        </w:rPr>
        <w:t xml:space="preserve">regulating online </w:t>
      </w:r>
      <w:r>
        <w:rPr>
          <w:rFonts w:ascii="Hind Light" w:eastAsia="Hind Light" w:hAnsi="Hind Light" w:cs="Hind Light"/>
          <w:sz w:val="20"/>
          <w:szCs w:val="20"/>
        </w:rPr>
        <w:t xml:space="preserve">platforms, published in </w:t>
      </w:r>
      <w:hyperlink r:id="rId18" w:history="1">
        <w:r w:rsidRPr="00382AED">
          <w:rPr>
            <w:rStyle w:val="Lienhypertexte"/>
            <w:rFonts w:ascii="Hind Light" w:eastAsia="Hind Light" w:hAnsi="Hind Light" w:cs="Hind Light"/>
            <w:sz w:val="20"/>
            <w:szCs w:val="20"/>
          </w:rPr>
          <w:t>EurActiv</w:t>
        </w:r>
      </w:hyperlink>
      <w:r>
        <w:rPr>
          <w:rFonts w:ascii="Hind Light" w:eastAsia="Hind Light" w:hAnsi="Hind Light" w:cs="Hind Light"/>
          <w:sz w:val="20"/>
          <w:szCs w:val="20"/>
        </w:rPr>
        <w:t xml:space="preserve"> and </w:t>
      </w:r>
      <w:hyperlink r:id="rId19" w:history="1">
        <w:r w:rsidRPr="00382AED">
          <w:rPr>
            <w:rStyle w:val="Lienhypertexte"/>
            <w:rFonts w:ascii="Hind Light" w:eastAsia="Hind Light" w:hAnsi="Hind Light" w:cs="Hind Light"/>
            <w:sz w:val="20"/>
            <w:szCs w:val="20"/>
          </w:rPr>
          <w:t>Les Echos</w:t>
        </w:r>
      </w:hyperlink>
      <w:r>
        <w:rPr>
          <w:rFonts w:ascii="Hind Light" w:eastAsia="Hind Light" w:hAnsi="Hind Light" w:cs="Hind Light"/>
          <w:sz w:val="20"/>
          <w:szCs w:val="20"/>
        </w:rPr>
        <w:t xml:space="preserve">. </w:t>
      </w:r>
    </w:p>
    <w:p w14:paraId="5BF0536B" w14:textId="77777777" w:rsidR="00382AED" w:rsidRDefault="00382AED" w:rsidP="00B911D6">
      <w:pPr>
        <w:pStyle w:val="Pardeliste"/>
        <w:numPr>
          <w:ilvl w:val="0"/>
          <w:numId w:val="7"/>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article highlights the work the EU has done so far on net neutrality, privacy and the draft </w:t>
      </w:r>
      <w:hyperlink r:id="rId20" w:history="1">
        <w:r w:rsidRPr="002958B3">
          <w:rPr>
            <w:rStyle w:val="Lienhypertexte"/>
            <w:rFonts w:ascii="Hind Light" w:eastAsia="Hind Light" w:hAnsi="Hind Light" w:cs="Hind Light"/>
            <w:sz w:val="20"/>
            <w:szCs w:val="20"/>
          </w:rPr>
          <w:t>regulation</w:t>
        </w:r>
      </w:hyperlink>
      <w:r>
        <w:rPr>
          <w:rFonts w:ascii="Hind Light" w:eastAsia="Hind Light" w:hAnsi="Hind Light" w:cs="Hind Light"/>
          <w:sz w:val="20"/>
          <w:szCs w:val="20"/>
        </w:rPr>
        <w:t xml:space="preserve"> </w:t>
      </w:r>
      <w:r w:rsidR="002958B3">
        <w:rPr>
          <w:rFonts w:ascii="Hind Light" w:eastAsia="Hind Light" w:hAnsi="Hind Light" w:cs="Hind Light"/>
          <w:sz w:val="20"/>
          <w:szCs w:val="20"/>
        </w:rPr>
        <w:t>tabled</w:t>
      </w:r>
      <w:r>
        <w:rPr>
          <w:rFonts w:ascii="Hind Light" w:eastAsia="Hind Light" w:hAnsi="Hind Light" w:cs="Hind Light"/>
          <w:sz w:val="20"/>
          <w:szCs w:val="20"/>
        </w:rPr>
        <w:t xml:space="preserve"> last week </w:t>
      </w:r>
      <w:r w:rsidR="00FC2AD6">
        <w:rPr>
          <w:rFonts w:ascii="Hind Light" w:eastAsia="Hind Light" w:hAnsi="Hind Light" w:cs="Hind Light"/>
          <w:sz w:val="20"/>
          <w:szCs w:val="20"/>
        </w:rPr>
        <w:t xml:space="preserve">aimed at protecting SMEs from abusive practices by online </w:t>
      </w:r>
      <w:r>
        <w:rPr>
          <w:rFonts w:ascii="Hind Light" w:eastAsia="Hind Light" w:hAnsi="Hind Light" w:cs="Hind Light"/>
          <w:sz w:val="20"/>
          <w:szCs w:val="20"/>
        </w:rPr>
        <w:t>platforms</w:t>
      </w:r>
      <w:r w:rsidR="00FC2AD6">
        <w:rPr>
          <w:rFonts w:ascii="Hind Light" w:eastAsia="Hind Light" w:hAnsi="Hind Light" w:cs="Hind Light"/>
          <w:sz w:val="20"/>
          <w:szCs w:val="20"/>
        </w:rPr>
        <w:t xml:space="preserve">, complementing initiatives that have already been released on fighting </w:t>
      </w:r>
      <w:hyperlink r:id="rId21" w:history="1">
        <w:r w:rsidR="00FC2AD6" w:rsidRPr="002958B3">
          <w:rPr>
            <w:rStyle w:val="Lienhypertexte"/>
            <w:rFonts w:ascii="Hind Light" w:eastAsia="Hind Light" w:hAnsi="Hind Light" w:cs="Hind Light"/>
            <w:sz w:val="20"/>
            <w:szCs w:val="20"/>
          </w:rPr>
          <w:t>illegal content</w:t>
        </w:r>
      </w:hyperlink>
      <w:r w:rsidR="00FC2AD6">
        <w:rPr>
          <w:rFonts w:ascii="Hind Light" w:eastAsia="Hind Light" w:hAnsi="Hind Light" w:cs="Hind Light"/>
          <w:sz w:val="20"/>
          <w:szCs w:val="20"/>
        </w:rPr>
        <w:t xml:space="preserve"> such as hate speech, terrorism or copyright-protected content. </w:t>
      </w:r>
    </w:p>
    <w:p w14:paraId="2DBD1A92" w14:textId="77777777" w:rsidR="00FC2AD6" w:rsidRDefault="00FC2AD6" w:rsidP="00B911D6">
      <w:pPr>
        <w:pStyle w:val="Pardeliste"/>
        <w:numPr>
          <w:ilvl w:val="0"/>
          <w:numId w:val="7"/>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Looking ahead, the Commissioner and Minister </w:t>
      </w:r>
      <w:r w:rsidR="002958B3">
        <w:rPr>
          <w:rFonts w:ascii="Hind Light" w:eastAsia="Hind Light" w:hAnsi="Hind Light" w:cs="Hind Light"/>
          <w:sz w:val="20"/>
          <w:szCs w:val="20"/>
        </w:rPr>
        <w:t>declare</w:t>
      </w:r>
      <w:r>
        <w:rPr>
          <w:rFonts w:ascii="Hind Light" w:eastAsia="Hind Light" w:hAnsi="Hind Light" w:cs="Hind Light"/>
          <w:sz w:val="20"/>
          <w:szCs w:val="20"/>
        </w:rPr>
        <w:t xml:space="preserve"> Europe must continue to establish itself as the “global regulator of digital technology”. They point to the huge lack of knowledge and transparency, </w:t>
      </w:r>
      <w:r w:rsidR="002958B3">
        <w:rPr>
          <w:rFonts w:ascii="Hind Light" w:eastAsia="Hind Light" w:hAnsi="Hind Light" w:cs="Hind Light"/>
          <w:sz w:val="20"/>
          <w:szCs w:val="20"/>
        </w:rPr>
        <w:t>particularly around</w:t>
      </w:r>
      <w:r>
        <w:rPr>
          <w:rFonts w:ascii="Hind Light" w:eastAsia="Hind Light" w:hAnsi="Hind Light" w:cs="Hind Light"/>
          <w:sz w:val="20"/>
          <w:szCs w:val="20"/>
        </w:rPr>
        <w:t xml:space="preserve"> algorithms and data management and call for a robust framework for </w:t>
      </w:r>
      <w:r w:rsidR="002E4DD2">
        <w:rPr>
          <w:rFonts w:ascii="Hind Light" w:eastAsia="Hind Light" w:hAnsi="Hind Light" w:cs="Hind Light"/>
          <w:sz w:val="20"/>
          <w:szCs w:val="20"/>
        </w:rPr>
        <w:t>Internet</w:t>
      </w:r>
      <w:r>
        <w:rPr>
          <w:rFonts w:ascii="Hind Light" w:eastAsia="Hind Light" w:hAnsi="Hind Light" w:cs="Hind Light"/>
          <w:sz w:val="20"/>
          <w:szCs w:val="20"/>
        </w:rPr>
        <w:t xml:space="preserve"> oversight, one based on models set up for critical infrastructure or financial institutions.</w:t>
      </w:r>
    </w:p>
    <w:p w14:paraId="4AB11FB1" w14:textId="77777777" w:rsidR="00FC2AD6" w:rsidRPr="00382AED" w:rsidRDefault="00FC2AD6" w:rsidP="00B911D6">
      <w:pPr>
        <w:pStyle w:val="Pardeliste"/>
        <w:numPr>
          <w:ilvl w:val="0"/>
          <w:numId w:val="7"/>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Finally, they call for sharing of data by private </w:t>
      </w:r>
      <w:r w:rsidR="00E1310D">
        <w:rPr>
          <w:rFonts w:ascii="Hind Light" w:eastAsia="Hind Light" w:hAnsi="Hind Light" w:cs="Hind Light"/>
          <w:sz w:val="20"/>
          <w:szCs w:val="20"/>
        </w:rPr>
        <w:t xml:space="preserve">companies to foster more competition through innovation and research.  </w:t>
      </w:r>
      <w:r>
        <w:rPr>
          <w:rFonts w:ascii="Hind Light" w:eastAsia="Hind Light" w:hAnsi="Hind Light" w:cs="Hind Light"/>
          <w:sz w:val="20"/>
          <w:szCs w:val="20"/>
        </w:rPr>
        <w:t xml:space="preserve">   </w:t>
      </w:r>
    </w:p>
    <w:p w14:paraId="08199C2D" w14:textId="77777777" w:rsidR="00E1310D" w:rsidRDefault="00E1310D" w:rsidP="00CD52A2">
      <w:pPr>
        <w:spacing w:line="280" w:lineRule="exact"/>
        <w:jc w:val="both"/>
        <w:rPr>
          <w:rFonts w:ascii="Hind Light" w:eastAsia="Hind Light" w:hAnsi="Hind Light" w:cs="Hind Light"/>
          <w:b/>
          <w:sz w:val="20"/>
          <w:szCs w:val="20"/>
        </w:rPr>
      </w:pPr>
    </w:p>
    <w:p w14:paraId="598919C7" w14:textId="77777777" w:rsidR="00382AED" w:rsidRDefault="00E1310D" w:rsidP="00CD52A2">
      <w:pPr>
        <w:spacing w:line="280" w:lineRule="exact"/>
        <w:jc w:val="both"/>
        <w:rPr>
          <w:rFonts w:ascii="Hind Light" w:eastAsia="Hind Light" w:hAnsi="Hind Light" w:cs="Hind Light"/>
          <w:b/>
          <w:sz w:val="20"/>
          <w:szCs w:val="20"/>
        </w:rPr>
      </w:pPr>
      <w:r w:rsidRPr="00E1310D">
        <w:rPr>
          <w:rFonts w:ascii="Hind Light" w:eastAsia="Hind Light" w:hAnsi="Hind Light" w:cs="Hind Light"/>
          <w:b/>
          <w:sz w:val="20"/>
          <w:szCs w:val="20"/>
        </w:rPr>
        <w:t xml:space="preserve">EU: </w:t>
      </w:r>
      <w:r w:rsidR="002958B3">
        <w:rPr>
          <w:rFonts w:ascii="Hind Light" w:eastAsia="Hind Light" w:hAnsi="Hind Light" w:cs="Hind Light"/>
          <w:b/>
          <w:sz w:val="20"/>
          <w:szCs w:val="20"/>
        </w:rPr>
        <w:t>P</w:t>
      </w:r>
      <w:r w:rsidRPr="00E1310D">
        <w:rPr>
          <w:rFonts w:ascii="Hind Light" w:eastAsia="Hind Light" w:hAnsi="Hind Light" w:cs="Hind Light"/>
          <w:b/>
          <w:sz w:val="20"/>
          <w:szCs w:val="20"/>
        </w:rPr>
        <w:t xml:space="preserve">ublic consultation </w:t>
      </w:r>
      <w:r w:rsidR="002958B3">
        <w:rPr>
          <w:rFonts w:ascii="Hind Light" w:eastAsia="Hind Light" w:hAnsi="Hind Light" w:cs="Hind Light"/>
          <w:b/>
          <w:sz w:val="20"/>
          <w:szCs w:val="20"/>
        </w:rPr>
        <w:t xml:space="preserve">launched </w:t>
      </w:r>
      <w:r w:rsidRPr="00E1310D">
        <w:rPr>
          <w:rFonts w:ascii="Hind Light" w:eastAsia="Hind Light" w:hAnsi="Hind Light" w:cs="Hind Light"/>
          <w:b/>
          <w:sz w:val="20"/>
          <w:szCs w:val="20"/>
        </w:rPr>
        <w:t xml:space="preserve">on measures to </w:t>
      </w:r>
      <w:r>
        <w:rPr>
          <w:rFonts w:ascii="Hind Light" w:eastAsia="Hind Light" w:hAnsi="Hind Light" w:cs="Hind Light"/>
          <w:b/>
          <w:sz w:val="20"/>
          <w:szCs w:val="20"/>
        </w:rPr>
        <w:t>fight illegal online content</w:t>
      </w:r>
    </w:p>
    <w:p w14:paraId="7BAEC04E" w14:textId="77777777" w:rsidR="00E1310D" w:rsidRDefault="00E1310D" w:rsidP="00B911D6">
      <w:pPr>
        <w:pStyle w:val="Pardeliste"/>
        <w:numPr>
          <w:ilvl w:val="0"/>
          <w:numId w:val="8"/>
        </w:numPr>
        <w:spacing w:line="280" w:lineRule="exact"/>
        <w:jc w:val="both"/>
        <w:rPr>
          <w:rFonts w:ascii="Hind Light" w:eastAsia="Hind Light" w:hAnsi="Hind Light" w:cs="Hind Light"/>
          <w:sz w:val="20"/>
          <w:szCs w:val="20"/>
        </w:rPr>
      </w:pPr>
      <w:r w:rsidRPr="00E1310D">
        <w:rPr>
          <w:rFonts w:ascii="Hind Light" w:eastAsia="Hind Light" w:hAnsi="Hind Light" w:cs="Hind Light"/>
          <w:sz w:val="20"/>
          <w:szCs w:val="20"/>
        </w:rPr>
        <w:t xml:space="preserve">The Commission is collecting evidence on the effectiveness of </w:t>
      </w:r>
      <w:r w:rsidR="002958B3">
        <w:rPr>
          <w:rFonts w:ascii="Hind Light" w:eastAsia="Hind Light" w:hAnsi="Hind Light" w:cs="Hind Light"/>
          <w:sz w:val="20"/>
          <w:szCs w:val="20"/>
        </w:rPr>
        <w:t xml:space="preserve">guidance </w:t>
      </w:r>
      <w:r w:rsidRPr="00E1310D">
        <w:rPr>
          <w:rFonts w:ascii="Hind Light" w:eastAsia="Hind Light" w:hAnsi="Hind Light" w:cs="Hind Light"/>
          <w:sz w:val="20"/>
          <w:szCs w:val="20"/>
        </w:rPr>
        <w:t xml:space="preserve">measures </w:t>
      </w:r>
      <w:r>
        <w:rPr>
          <w:rFonts w:ascii="Hind Light" w:eastAsia="Hind Light" w:hAnsi="Hind Light" w:cs="Hind Light"/>
          <w:sz w:val="20"/>
          <w:szCs w:val="20"/>
        </w:rPr>
        <w:t xml:space="preserve">it released back in March in anticipation of further reforms </w:t>
      </w:r>
      <w:r w:rsidR="00AF0035">
        <w:rPr>
          <w:rFonts w:ascii="Hind Light" w:eastAsia="Hind Light" w:hAnsi="Hind Light" w:cs="Hind Light"/>
          <w:sz w:val="20"/>
          <w:szCs w:val="20"/>
        </w:rPr>
        <w:t xml:space="preserve">on </w:t>
      </w:r>
      <w:r>
        <w:rPr>
          <w:rFonts w:ascii="Hind Light" w:eastAsia="Hind Light" w:hAnsi="Hind Light" w:cs="Hind Light"/>
          <w:sz w:val="20"/>
          <w:szCs w:val="20"/>
        </w:rPr>
        <w:t xml:space="preserve">tackling illegal online content. </w:t>
      </w:r>
    </w:p>
    <w:p w14:paraId="7A146871" w14:textId="77777777" w:rsidR="00AF0035" w:rsidRDefault="00E1310D" w:rsidP="00B911D6">
      <w:pPr>
        <w:pStyle w:val="Pardeliste"/>
        <w:numPr>
          <w:ilvl w:val="0"/>
          <w:numId w:val="8"/>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lastRenderedPageBreak/>
        <w:t xml:space="preserve">The </w:t>
      </w:r>
      <w:hyperlink r:id="rId22" w:history="1">
        <w:r w:rsidRPr="00AF0035">
          <w:rPr>
            <w:rStyle w:val="Lienhypertexte"/>
            <w:rFonts w:ascii="Hind Light" w:eastAsia="Hind Light" w:hAnsi="Hind Light" w:cs="Hind Light"/>
            <w:sz w:val="20"/>
            <w:szCs w:val="20"/>
          </w:rPr>
          <w:t>Recommendation</w:t>
        </w:r>
      </w:hyperlink>
      <w:r>
        <w:rPr>
          <w:rFonts w:ascii="Hind Light" w:eastAsia="Hind Light" w:hAnsi="Hind Light" w:cs="Hind Light"/>
          <w:sz w:val="20"/>
          <w:szCs w:val="20"/>
        </w:rPr>
        <w:t xml:space="preserve"> released March 1 2018 provided advice to </w:t>
      </w:r>
      <w:r w:rsidR="00AF0035">
        <w:rPr>
          <w:rFonts w:ascii="Hind Light" w:eastAsia="Hind Light" w:hAnsi="Hind Light" w:cs="Hind Light"/>
          <w:sz w:val="20"/>
          <w:szCs w:val="20"/>
        </w:rPr>
        <w:t xml:space="preserve">Member States on </w:t>
      </w:r>
      <w:r>
        <w:rPr>
          <w:rFonts w:ascii="Hind Light" w:eastAsia="Hind Light" w:hAnsi="Hind Light" w:cs="Hind Light"/>
          <w:sz w:val="20"/>
          <w:szCs w:val="20"/>
        </w:rPr>
        <w:t xml:space="preserve">on how to best deal with </w:t>
      </w:r>
      <w:r w:rsidR="002958B3">
        <w:rPr>
          <w:rFonts w:ascii="Hind Light" w:eastAsia="Hind Light" w:hAnsi="Hind Light" w:cs="Hind Light"/>
          <w:sz w:val="20"/>
          <w:szCs w:val="20"/>
        </w:rPr>
        <w:t xml:space="preserve">removing </w:t>
      </w:r>
      <w:r w:rsidRPr="00E1310D">
        <w:rPr>
          <w:rFonts w:ascii="Hind Light" w:eastAsia="Hind Light" w:hAnsi="Hind Light" w:cs="Hind Light"/>
          <w:sz w:val="20"/>
          <w:szCs w:val="20"/>
        </w:rPr>
        <w:t>illegal content online</w:t>
      </w:r>
      <w:r w:rsidR="00AF0035">
        <w:rPr>
          <w:rFonts w:ascii="Hind Light" w:eastAsia="Hind Light" w:hAnsi="Hind Light" w:cs="Hind Light"/>
          <w:sz w:val="20"/>
          <w:szCs w:val="20"/>
        </w:rPr>
        <w:t xml:space="preserve">, with suggestions on submitting and processing notices, out-of-court dispute settlement and encouraging  hosting services to adopt stronger safeguards on privacy and clearer explanations of their policies for transparency. </w:t>
      </w:r>
    </w:p>
    <w:p w14:paraId="7BF7BDD8" w14:textId="77777777" w:rsidR="00E1310D" w:rsidRDefault="00E1310D" w:rsidP="00B911D6">
      <w:pPr>
        <w:pStyle w:val="Pardeliste"/>
        <w:numPr>
          <w:ilvl w:val="0"/>
          <w:numId w:val="8"/>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consultation </w:t>
      </w:r>
      <w:r w:rsidR="00AF0035">
        <w:rPr>
          <w:rFonts w:ascii="Hind Light" w:eastAsia="Hind Light" w:hAnsi="Hind Light" w:cs="Hind Light"/>
          <w:sz w:val="20"/>
          <w:szCs w:val="20"/>
        </w:rPr>
        <w:t xml:space="preserve">will </w:t>
      </w:r>
      <w:r>
        <w:rPr>
          <w:rFonts w:ascii="Hind Light" w:eastAsia="Hind Light" w:hAnsi="Hind Light" w:cs="Hind Light"/>
          <w:sz w:val="20"/>
          <w:szCs w:val="20"/>
        </w:rPr>
        <w:t xml:space="preserve">help the EC identify the best </w:t>
      </w:r>
      <w:r w:rsidR="00AF0035">
        <w:rPr>
          <w:rFonts w:ascii="Hind Light" w:eastAsia="Hind Light" w:hAnsi="Hind Light" w:cs="Hind Light"/>
          <w:sz w:val="20"/>
          <w:szCs w:val="20"/>
        </w:rPr>
        <w:t xml:space="preserve">approach in adopting additional </w:t>
      </w:r>
      <w:r>
        <w:rPr>
          <w:rFonts w:ascii="Hind Light" w:eastAsia="Hind Light" w:hAnsi="Hind Light" w:cs="Hind Light"/>
          <w:sz w:val="20"/>
          <w:szCs w:val="20"/>
        </w:rPr>
        <w:t xml:space="preserve">measures by </w:t>
      </w:r>
      <w:r w:rsidRPr="00E1310D">
        <w:rPr>
          <w:rFonts w:ascii="Hind Light" w:eastAsia="Hind Light" w:hAnsi="Hind Light" w:cs="Hind Light"/>
          <w:sz w:val="20"/>
          <w:szCs w:val="20"/>
        </w:rPr>
        <w:t>the end of 2018,</w:t>
      </w:r>
      <w:r w:rsidR="00836D89">
        <w:rPr>
          <w:rFonts w:ascii="Hind Light" w:eastAsia="Hind Light" w:hAnsi="Hind Light" w:cs="Hind Light"/>
          <w:sz w:val="20"/>
          <w:szCs w:val="20"/>
        </w:rPr>
        <w:t xml:space="preserve"> </w:t>
      </w:r>
      <w:r w:rsidRPr="00E1310D">
        <w:rPr>
          <w:rFonts w:ascii="Hind Light" w:eastAsia="Hind Light" w:hAnsi="Hind Light" w:cs="Hind Light"/>
          <w:sz w:val="20"/>
          <w:szCs w:val="20"/>
        </w:rPr>
        <w:t>to improve the effectiveness of combating illegal content online.</w:t>
      </w:r>
    </w:p>
    <w:p w14:paraId="6A3AFEFA" w14:textId="77777777" w:rsidR="00AF0035" w:rsidRPr="00E1310D" w:rsidRDefault="00AF0035" w:rsidP="00B911D6">
      <w:pPr>
        <w:pStyle w:val="Pardeliste"/>
        <w:numPr>
          <w:ilvl w:val="0"/>
          <w:numId w:val="8"/>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w:t>
      </w:r>
      <w:hyperlink r:id="rId23" w:history="1">
        <w:r w:rsidRPr="00AF0035">
          <w:rPr>
            <w:rStyle w:val="Lienhypertexte"/>
            <w:rFonts w:ascii="Hind Light" w:eastAsia="Hind Light" w:hAnsi="Hind Light" w:cs="Hind Light"/>
            <w:sz w:val="20"/>
            <w:szCs w:val="20"/>
          </w:rPr>
          <w:t>consultation</w:t>
        </w:r>
      </w:hyperlink>
      <w:r>
        <w:rPr>
          <w:rFonts w:ascii="Hind Light" w:eastAsia="Hind Light" w:hAnsi="Hind Light" w:cs="Hind Light"/>
          <w:sz w:val="20"/>
          <w:szCs w:val="20"/>
        </w:rPr>
        <w:t xml:space="preserve"> opened to contributions on April 30 and closes on June 25. </w:t>
      </w:r>
    </w:p>
    <w:p w14:paraId="7454B23B" w14:textId="77777777" w:rsidR="00E1310D" w:rsidRDefault="00E1310D" w:rsidP="00CD52A2">
      <w:pPr>
        <w:spacing w:line="280" w:lineRule="exact"/>
        <w:jc w:val="both"/>
        <w:rPr>
          <w:rFonts w:ascii="Hind Light" w:eastAsia="Hind Light" w:hAnsi="Hind Light" w:cs="Hind Light"/>
          <w:b/>
          <w:sz w:val="20"/>
          <w:szCs w:val="20"/>
        </w:rPr>
      </w:pPr>
    </w:p>
    <w:p w14:paraId="70467379" w14:textId="77777777" w:rsidR="00F23AFA" w:rsidRDefault="00F23AFA" w:rsidP="00F23AFA">
      <w:pPr>
        <w:tabs>
          <w:tab w:val="left" w:pos="4624"/>
        </w:tabs>
        <w:spacing w:line="280" w:lineRule="exact"/>
        <w:jc w:val="both"/>
        <w:rPr>
          <w:rFonts w:ascii="Hind Light" w:eastAsia="Hind Light" w:hAnsi="Hind Light" w:cs="Hind Light"/>
          <w:b/>
          <w:sz w:val="20"/>
          <w:szCs w:val="20"/>
        </w:rPr>
      </w:pPr>
      <w:r w:rsidRPr="00F23AFA">
        <w:rPr>
          <w:rFonts w:ascii="Hind Light" w:eastAsia="Hind Light" w:hAnsi="Hind Light" w:cs="Hind Light"/>
          <w:b/>
          <w:sz w:val="20"/>
          <w:szCs w:val="20"/>
        </w:rPr>
        <w:t xml:space="preserve">EU: Europe’s Data Protection </w:t>
      </w:r>
      <w:r>
        <w:rPr>
          <w:rFonts w:ascii="Hind Light" w:eastAsia="Hind Light" w:hAnsi="Hind Light" w:cs="Hind Light"/>
          <w:b/>
          <w:sz w:val="20"/>
          <w:szCs w:val="20"/>
        </w:rPr>
        <w:t>Supervisor</w:t>
      </w:r>
      <w:r w:rsidRPr="00F23AFA">
        <w:rPr>
          <w:rFonts w:ascii="Hind Light" w:eastAsia="Hind Light" w:hAnsi="Hind Light" w:cs="Hind Light"/>
          <w:b/>
          <w:sz w:val="20"/>
          <w:szCs w:val="20"/>
        </w:rPr>
        <w:t xml:space="preserve"> </w:t>
      </w:r>
      <w:r w:rsidR="002958B3">
        <w:rPr>
          <w:rFonts w:ascii="Hind Light" w:eastAsia="Hind Light" w:hAnsi="Hind Light" w:cs="Hind Light"/>
          <w:b/>
          <w:sz w:val="20"/>
          <w:szCs w:val="20"/>
        </w:rPr>
        <w:t xml:space="preserve">questions readiness on </w:t>
      </w:r>
      <w:r>
        <w:rPr>
          <w:rFonts w:ascii="Hind Light" w:eastAsia="Hind Light" w:hAnsi="Hind Light" w:cs="Hind Light"/>
          <w:b/>
          <w:sz w:val="20"/>
          <w:szCs w:val="20"/>
        </w:rPr>
        <w:t xml:space="preserve">GDPR </w:t>
      </w:r>
    </w:p>
    <w:p w14:paraId="59C8D47A" w14:textId="77777777" w:rsidR="00F23AFA" w:rsidRDefault="00F23AFA" w:rsidP="00B911D6">
      <w:pPr>
        <w:pStyle w:val="Pardeliste"/>
        <w:numPr>
          <w:ilvl w:val="0"/>
          <w:numId w:val="9"/>
        </w:numPr>
        <w:tabs>
          <w:tab w:val="left" w:pos="4624"/>
        </w:tabs>
        <w:spacing w:line="280" w:lineRule="exact"/>
        <w:jc w:val="both"/>
        <w:rPr>
          <w:rFonts w:ascii="Hind Light" w:eastAsia="Hind Light" w:hAnsi="Hind Light" w:cs="Hind Light"/>
          <w:sz w:val="20"/>
          <w:szCs w:val="20"/>
        </w:rPr>
      </w:pPr>
      <w:r w:rsidRPr="00F23AFA">
        <w:rPr>
          <w:rFonts w:ascii="Hind Light" w:eastAsia="Hind Light" w:hAnsi="Hind Light" w:cs="Hind Light"/>
          <w:sz w:val="20"/>
          <w:szCs w:val="20"/>
        </w:rPr>
        <w:t xml:space="preserve">In a </w:t>
      </w:r>
      <w:hyperlink r:id="rId24" w:history="1">
        <w:r w:rsidRPr="00836D89">
          <w:rPr>
            <w:rStyle w:val="Lienhypertexte"/>
            <w:rFonts w:ascii="Hind Light" w:eastAsia="Hind Light" w:hAnsi="Hind Light" w:cs="Hind Light"/>
            <w:sz w:val="20"/>
            <w:szCs w:val="20"/>
          </w:rPr>
          <w:t>blog</w:t>
        </w:r>
      </w:hyperlink>
      <w:r w:rsidRPr="00F23AFA">
        <w:rPr>
          <w:rFonts w:ascii="Hind Light" w:eastAsia="Hind Light" w:hAnsi="Hind Light" w:cs="Hind Light"/>
          <w:sz w:val="20"/>
          <w:szCs w:val="20"/>
        </w:rPr>
        <w:t xml:space="preserve"> published on Labour Day, Giovanni </w:t>
      </w:r>
      <w:r w:rsidR="00836D89">
        <w:rPr>
          <w:rFonts w:ascii="Hind Light" w:eastAsia="Hind Light" w:hAnsi="Hind Light" w:cs="Hind Light"/>
          <w:sz w:val="20"/>
          <w:szCs w:val="20"/>
        </w:rPr>
        <w:t>Buttarelli</w:t>
      </w:r>
      <w:r w:rsidRPr="00F23AFA">
        <w:rPr>
          <w:rFonts w:ascii="Hind Light" w:eastAsia="Hind Light" w:hAnsi="Hind Light" w:cs="Hind Light"/>
          <w:sz w:val="20"/>
          <w:szCs w:val="20"/>
        </w:rPr>
        <w:t xml:space="preserve"> calls for</w:t>
      </w:r>
      <w:r>
        <w:rPr>
          <w:rFonts w:ascii="Hind Light" w:eastAsia="Hind Light" w:hAnsi="Hind Light" w:cs="Hind Light"/>
          <w:sz w:val="20"/>
          <w:szCs w:val="20"/>
        </w:rPr>
        <w:t xml:space="preserve"> large companies to stop manipulative approaches to privacy policy in anticipation of the EU’s new data protection rules, the General Data Protection Regulation (GDPR), which enters into force later this month on May 25. </w:t>
      </w:r>
    </w:p>
    <w:p w14:paraId="088C3F57" w14:textId="77777777" w:rsidR="00F23AFA" w:rsidRDefault="00F23AFA" w:rsidP="00B911D6">
      <w:pPr>
        <w:pStyle w:val="Pardeliste"/>
        <w:numPr>
          <w:ilvl w:val="0"/>
          <w:numId w:val="9"/>
        </w:numPr>
        <w:tabs>
          <w:tab w:val="left" w:pos="4624"/>
        </w:tabs>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EU’s Data Protection Supervisor explains </w:t>
      </w:r>
      <w:r w:rsidR="002958B3">
        <w:rPr>
          <w:rFonts w:ascii="Hind Light" w:eastAsia="Hind Light" w:hAnsi="Hind Light" w:cs="Hind Light"/>
          <w:sz w:val="20"/>
          <w:szCs w:val="20"/>
        </w:rPr>
        <w:t xml:space="preserve">numerous </w:t>
      </w:r>
      <w:r>
        <w:rPr>
          <w:rFonts w:ascii="Hind Light" w:eastAsia="Hind Light" w:hAnsi="Hind Light" w:cs="Hind Light"/>
          <w:sz w:val="20"/>
          <w:szCs w:val="20"/>
        </w:rPr>
        <w:t>companies</w:t>
      </w:r>
      <w:r w:rsidR="002958B3">
        <w:rPr>
          <w:rFonts w:ascii="Hind Light" w:eastAsia="Hind Light" w:hAnsi="Hind Light" w:cs="Hind Light"/>
          <w:sz w:val="20"/>
          <w:szCs w:val="20"/>
        </w:rPr>
        <w:t xml:space="preserve"> </w:t>
      </w:r>
      <w:r>
        <w:rPr>
          <w:rFonts w:ascii="Hind Light" w:eastAsia="Hind Light" w:hAnsi="Hind Light" w:cs="Hind Light"/>
          <w:sz w:val="20"/>
          <w:szCs w:val="20"/>
        </w:rPr>
        <w:t>must still make adjustments to satisfy Article 7(4) of the GDPR, which states that consent cannot be freely given if the provision of a service is made conditional on processing personal data</w:t>
      </w:r>
      <w:r w:rsidR="002958B3">
        <w:rPr>
          <w:rFonts w:ascii="Hind Light" w:eastAsia="Hind Light" w:hAnsi="Hind Light" w:cs="Hind Light"/>
          <w:sz w:val="20"/>
          <w:szCs w:val="20"/>
        </w:rPr>
        <w:t xml:space="preserve"> that is</w:t>
      </w:r>
      <w:r>
        <w:rPr>
          <w:rFonts w:ascii="Hind Light" w:eastAsia="Hind Light" w:hAnsi="Hind Light" w:cs="Hind Light"/>
          <w:sz w:val="20"/>
          <w:szCs w:val="20"/>
        </w:rPr>
        <w:t xml:space="preserve"> not necessary for the performance of a contract. </w:t>
      </w:r>
    </w:p>
    <w:p w14:paraId="0766991E" w14:textId="77777777" w:rsidR="00F23AFA" w:rsidRDefault="00F23AFA" w:rsidP="00B911D6">
      <w:pPr>
        <w:pStyle w:val="Pardeliste"/>
        <w:numPr>
          <w:ilvl w:val="0"/>
          <w:numId w:val="9"/>
        </w:numPr>
        <w:tabs>
          <w:tab w:val="left" w:pos="4624"/>
        </w:tabs>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Facebook/Cambridge Analytica scandal must serve as a water-shed moment for online companies, </w:t>
      </w:r>
      <w:r w:rsidR="002958B3">
        <w:rPr>
          <w:rFonts w:ascii="Hind Light" w:eastAsia="Hind Light" w:hAnsi="Hind Light" w:cs="Hind Light"/>
          <w:sz w:val="20"/>
          <w:szCs w:val="20"/>
        </w:rPr>
        <w:t xml:space="preserve">says Mr. Buttarelli, urging </w:t>
      </w:r>
      <w:r>
        <w:rPr>
          <w:rFonts w:ascii="Hind Light" w:eastAsia="Hind Light" w:hAnsi="Hind Light" w:cs="Hind Light"/>
          <w:sz w:val="20"/>
          <w:szCs w:val="20"/>
        </w:rPr>
        <w:t xml:space="preserve">national controllers in Europe to </w:t>
      </w:r>
      <w:r w:rsidR="00836D89">
        <w:rPr>
          <w:rFonts w:ascii="Hind Light" w:eastAsia="Hind Light" w:hAnsi="Hind Light" w:cs="Hind Light"/>
          <w:sz w:val="20"/>
          <w:szCs w:val="20"/>
        </w:rPr>
        <w:t xml:space="preserve">not only be concerned with compliance but </w:t>
      </w:r>
      <w:r w:rsidR="002958B3">
        <w:rPr>
          <w:rFonts w:ascii="Hind Light" w:eastAsia="Hind Light" w:hAnsi="Hind Light" w:cs="Hind Light"/>
          <w:sz w:val="20"/>
          <w:szCs w:val="20"/>
        </w:rPr>
        <w:t xml:space="preserve">to see </w:t>
      </w:r>
      <w:r w:rsidR="00836D89">
        <w:rPr>
          <w:rFonts w:ascii="Hind Light" w:eastAsia="Hind Light" w:hAnsi="Hind Light" w:cs="Hind Light"/>
          <w:sz w:val="20"/>
          <w:szCs w:val="20"/>
        </w:rPr>
        <w:t xml:space="preserve">responsible data processing </w:t>
      </w:r>
      <w:r w:rsidR="0031677C">
        <w:rPr>
          <w:rFonts w:ascii="Hind Light" w:eastAsia="Hind Light" w:hAnsi="Hind Light" w:cs="Hind Light"/>
          <w:sz w:val="20"/>
          <w:szCs w:val="20"/>
        </w:rPr>
        <w:t>as</w:t>
      </w:r>
      <w:r w:rsidR="00836D89">
        <w:rPr>
          <w:rFonts w:ascii="Hind Light" w:eastAsia="Hind Light" w:hAnsi="Hind Light" w:cs="Hind Light"/>
          <w:sz w:val="20"/>
          <w:szCs w:val="20"/>
        </w:rPr>
        <w:t xml:space="preserve"> a competitive advantage. More information on this will be released in the EDPS Opinion on privacy by design to be published next week. </w:t>
      </w:r>
    </w:p>
    <w:p w14:paraId="060CC355" w14:textId="77777777" w:rsidR="00836D89" w:rsidRPr="00F23AFA" w:rsidRDefault="00836D89" w:rsidP="00B911D6">
      <w:pPr>
        <w:pStyle w:val="Pardeliste"/>
        <w:numPr>
          <w:ilvl w:val="0"/>
          <w:numId w:val="9"/>
        </w:numPr>
        <w:tabs>
          <w:tab w:val="left" w:pos="4624"/>
        </w:tabs>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In the meantime, European Data Protection Authorities are collaborating closely, with a new social media subgroup meeting for the first time in mid-May. </w:t>
      </w:r>
    </w:p>
    <w:p w14:paraId="6B0D4625" w14:textId="77777777" w:rsidR="002958B3" w:rsidRPr="00F23AFA" w:rsidRDefault="002958B3" w:rsidP="00CD52A2">
      <w:pPr>
        <w:spacing w:line="280" w:lineRule="exact"/>
        <w:jc w:val="both"/>
        <w:rPr>
          <w:rFonts w:ascii="Hind Light" w:eastAsia="Hind Light" w:hAnsi="Hind Light" w:cs="Hind Light"/>
          <w:b/>
          <w:sz w:val="20"/>
          <w:szCs w:val="20"/>
        </w:rPr>
      </w:pPr>
      <w:bookmarkStart w:id="1" w:name="_GoBack"/>
      <w:bookmarkEnd w:id="1"/>
    </w:p>
    <w:p w14:paraId="7748EBEE" w14:textId="77777777" w:rsidR="00CD52A2" w:rsidRDefault="00CD52A2" w:rsidP="00CD52A2">
      <w:pPr>
        <w:spacing w:line="280" w:lineRule="exact"/>
        <w:jc w:val="both"/>
        <w:rPr>
          <w:rFonts w:ascii="Hind Light" w:eastAsia="Hind Light" w:hAnsi="Hind Light" w:cs="Hind Light"/>
          <w:b/>
          <w:sz w:val="20"/>
          <w:szCs w:val="20"/>
        </w:rPr>
      </w:pPr>
      <w:r w:rsidRPr="00CD52A2">
        <w:rPr>
          <w:rFonts w:ascii="Hind Light" w:eastAsia="Hind Light" w:hAnsi="Hind Light" w:cs="Hind Light"/>
          <w:b/>
          <w:sz w:val="20"/>
          <w:szCs w:val="20"/>
        </w:rPr>
        <w:t xml:space="preserve">UK: Parliament on the future of </w:t>
      </w:r>
      <w:r w:rsidR="002E4DD2">
        <w:rPr>
          <w:rFonts w:ascii="Hind Light" w:eastAsia="Hind Light" w:hAnsi="Hind Light" w:cs="Hind Light"/>
          <w:b/>
          <w:sz w:val="20"/>
          <w:szCs w:val="20"/>
        </w:rPr>
        <w:t>Internet</w:t>
      </w:r>
      <w:r w:rsidRPr="00CD52A2">
        <w:rPr>
          <w:rFonts w:ascii="Hind Light" w:eastAsia="Hind Light" w:hAnsi="Hind Light" w:cs="Hind Light"/>
          <w:b/>
          <w:sz w:val="20"/>
          <w:szCs w:val="20"/>
        </w:rPr>
        <w:t xml:space="preserve"> policy</w:t>
      </w:r>
    </w:p>
    <w:p w14:paraId="438FF848" w14:textId="77777777" w:rsidR="00CD52A2" w:rsidRDefault="00CD52A2" w:rsidP="00B911D6">
      <w:pPr>
        <w:pStyle w:val="Pardeliste"/>
        <w:numPr>
          <w:ilvl w:val="0"/>
          <w:numId w:val="5"/>
        </w:numPr>
        <w:spacing w:line="280" w:lineRule="exact"/>
        <w:jc w:val="both"/>
        <w:rPr>
          <w:rFonts w:ascii="Hind Light" w:eastAsia="Hind Light" w:hAnsi="Hind Light" w:cs="Hind Light"/>
          <w:sz w:val="20"/>
          <w:szCs w:val="20"/>
        </w:rPr>
      </w:pPr>
      <w:r w:rsidRPr="00CD52A2">
        <w:rPr>
          <w:rFonts w:ascii="Hind Light" w:eastAsia="Hind Light" w:hAnsi="Hind Light" w:cs="Hind Light"/>
          <w:sz w:val="20"/>
          <w:szCs w:val="20"/>
        </w:rPr>
        <w:t>The UK’s House of Lords Communications Committee</w:t>
      </w:r>
      <w:r>
        <w:rPr>
          <w:rFonts w:ascii="Hind Light" w:eastAsia="Hind Light" w:hAnsi="Hind Light" w:cs="Hind Light"/>
          <w:sz w:val="20"/>
          <w:szCs w:val="20"/>
        </w:rPr>
        <w:t xml:space="preserve"> launched an </w:t>
      </w:r>
      <w:hyperlink r:id="rId25" w:history="1">
        <w:r w:rsidRPr="00836D89">
          <w:rPr>
            <w:rStyle w:val="Lienhypertexte"/>
            <w:rFonts w:ascii="Hind Light" w:eastAsia="Hind Light" w:hAnsi="Hind Light" w:cs="Hind Light"/>
            <w:sz w:val="20"/>
            <w:szCs w:val="20"/>
          </w:rPr>
          <w:t>inquiry</w:t>
        </w:r>
      </w:hyperlink>
      <w:r>
        <w:rPr>
          <w:rFonts w:ascii="Hind Light" w:eastAsia="Hind Light" w:hAnsi="Hind Light" w:cs="Hind Light"/>
          <w:sz w:val="20"/>
          <w:szCs w:val="20"/>
        </w:rPr>
        <w:t xml:space="preserve"> into the future of </w:t>
      </w:r>
      <w:r w:rsidR="002E4DD2">
        <w:rPr>
          <w:rFonts w:ascii="Hind Light" w:eastAsia="Hind Light" w:hAnsi="Hind Light" w:cs="Hind Light"/>
          <w:sz w:val="20"/>
          <w:szCs w:val="20"/>
        </w:rPr>
        <w:t>Internet</w:t>
      </w:r>
      <w:r>
        <w:rPr>
          <w:rFonts w:ascii="Hind Light" w:eastAsia="Hind Light" w:hAnsi="Hind Light" w:cs="Hind Light"/>
          <w:sz w:val="20"/>
          <w:szCs w:val="20"/>
        </w:rPr>
        <w:t xml:space="preserve"> regulation in April</w:t>
      </w:r>
      <w:r w:rsidR="00836D89">
        <w:rPr>
          <w:rFonts w:ascii="Hind Light" w:eastAsia="Hind Light" w:hAnsi="Hind Light" w:cs="Hind Light"/>
          <w:sz w:val="20"/>
          <w:szCs w:val="20"/>
        </w:rPr>
        <w:t>, and although</w:t>
      </w:r>
      <w:r>
        <w:rPr>
          <w:rFonts w:ascii="Hind Light" w:eastAsia="Hind Light" w:hAnsi="Hind Light" w:cs="Hind Light"/>
          <w:sz w:val="20"/>
          <w:szCs w:val="20"/>
        </w:rPr>
        <w:t xml:space="preserve"> written evidence is </w:t>
      </w:r>
      <w:r w:rsidR="00836D89">
        <w:rPr>
          <w:rFonts w:ascii="Hind Light" w:eastAsia="Hind Light" w:hAnsi="Hind Light" w:cs="Hind Light"/>
          <w:sz w:val="20"/>
          <w:szCs w:val="20"/>
        </w:rPr>
        <w:t xml:space="preserve">not </w:t>
      </w:r>
      <w:r>
        <w:rPr>
          <w:rFonts w:ascii="Hind Light" w:eastAsia="Hind Light" w:hAnsi="Hind Light" w:cs="Hind Light"/>
          <w:sz w:val="20"/>
          <w:szCs w:val="20"/>
        </w:rPr>
        <w:t xml:space="preserve">due </w:t>
      </w:r>
      <w:r w:rsidR="00836D89">
        <w:rPr>
          <w:rFonts w:ascii="Hind Light" w:eastAsia="Hind Light" w:hAnsi="Hind Light" w:cs="Hind Light"/>
          <w:sz w:val="20"/>
          <w:szCs w:val="20"/>
        </w:rPr>
        <w:t xml:space="preserve">before </w:t>
      </w:r>
      <w:r>
        <w:rPr>
          <w:rFonts w:ascii="Hind Light" w:eastAsia="Hind Light" w:hAnsi="Hind Light" w:cs="Hind Light"/>
          <w:sz w:val="20"/>
          <w:szCs w:val="20"/>
        </w:rPr>
        <w:t xml:space="preserve">May 11, </w:t>
      </w:r>
      <w:hyperlink r:id="rId26" w:history="1">
        <w:r w:rsidRPr="00836D89">
          <w:rPr>
            <w:rStyle w:val="Lienhypertexte"/>
            <w:rFonts w:ascii="Hind Light" w:eastAsia="Hind Light" w:hAnsi="Hind Light" w:cs="Hind Light"/>
            <w:sz w:val="20"/>
            <w:szCs w:val="20"/>
          </w:rPr>
          <w:t>oral evidence</w:t>
        </w:r>
      </w:hyperlink>
      <w:r>
        <w:rPr>
          <w:rFonts w:ascii="Hind Light" w:eastAsia="Hind Light" w:hAnsi="Hind Light" w:cs="Hind Light"/>
          <w:sz w:val="20"/>
          <w:szCs w:val="20"/>
        </w:rPr>
        <w:t xml:space="preserve"> from academics and market specialists </w:t>
      </w:r>
      <w:r w:rsidR="00836D89">
        <w:rPr>
          <w:rFonts w:ascii="Hind Light" w:eastAsia="Hind Light" w:hAnsi="Hind Light" w:cs="Hind Light"/>
          <w:sz w:val="20"/>
          <w:szCs w:val="20"/>
        </w:rPr>
        <w:t xml:space="preserve">published online this week </w:t>
      </w:r>
      <w:r>
        <w:rPr>
          <w:rFonts w:ascii="Hind Light" w:eastAsia="Hind Light" w:hAnsi="Hind Light" w:cs="Hind Light"/>
          <w:sz w:val="20"/>
          <w:szCs w:val="20"/>
        </w:rPr>
        <w:t xml:space="preserve">has already given an idea of the </w:t>
      </w:r>
      <w:r w:rsidR="00836D89">
        <w:rPr>
          <w:rFonts w:ascii="Hind Light" w:eastAsia="Hind Light" w:hAnsi="Hind Light" w:cs="Hind Light"/>
          <w:sz w:val="20"/>
          <w:szCs w:val="20"/>
        </w:rPr>
        <w:t xml:space="preserve">issues </w:t>
      </w:r>
      <w:r>
        <w:rPr>
          <w:rFonts w:ascii="Hind Light" w:eastAsia="Hind Light" w:hAnsi="Hind Light" w:cs="Hind Light"/>
          <w:sz w:val="20"/>
          <w:szCs w:val="20"/>
        </w:rPr>
        <w:t xml:space="preserve">that </w:t>
      </w:r>
      <w:r w:rsidR="00836D89">
        <w:rPr>
          <w:rFonts w:ascii="Hind Light" w:eastAsia="Hind Light" w:hAnsi="Hind Light" w:cs="Hind Light"/>
          <w:sz w:val="20"/>
          <w:szCs w:val="20"/>
        </w:rPr>
        <w:t xml:space="preserve">will focus </w:t>
      </w:r>
      <w:r>
        <w:rPr>
          <w:rFonts w:ascii="Hind Light" w:eastAsia="Hind Light" w:hAnsi="Hind Light" w:cs="Hind Light"/>
          <w:sz w:val="20"/>
          <w:szCs w:val="20"/>
        </w:rPr>
        <w:t>the discussion.</w:t>
      </w:r>
    </w:p>
    <w:p w14:paraId="0534AE83" w14:textId="77777777" w:rsidR="00E876D7" w:rsidRDefault="00E876D7" w:rsidP="00B911D6">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feedback to the </w:t>
      </w:r>
      <w:r w:rsidR="00836D89">
        <w:rPr>
          <w:rFonts w:ascii="Hind Light" w:eastAsia="Hind Light" w:hAnsi="Hind Light" w:cs="Hind Light"/>
          <w:sz w:val="20"/>
          <w:szCs w:val="20"/>
        </w:rPr>
        <w:t>inquiry</w:t>
      </w:r>
      <w:r>
        <w:rPr>
          <w:rFonts w:ascii="Hind Light" w:eastAsia="Hind Light" w:hAnsi="Hind Light" w:cs="Hind Light"/>
          <w:sz w:val="20"/>
          <w:szCs w:val="20"/>
        </w:rPr>
        <w:t xml:space="preserve"> highlights the need to better regulate and define platforms, with a globally accepted legal definition of what qualifies as an online platform, and the risks tied to over-regulating smaller platforms potentially creating barriers to access. </w:t>
      </w:r>
    </w:p>
    <w:p w14:paraId="51178E96" w14:textId="77777777" w:rsidR="00CD52A2" w:rsidRDefault="00E876D7" w:rsidP="00B911D6">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initial feedback highlights the value of codes of conduct rather than systematically regulating. “Co-regulation” is also talked about as a better alternative to no regulation by Victoria Nash, deputy director of the Oxford </w:t>
      </w:r>
      <w:r w:rsidR="002E4DD2">
        <w:rPr>
          <w:rFonts w:ascii="Hind Light" w:eastAsia="Hind Light" w:hAnsi="Hind Light" w:cs="Hind Light"/>
          <w:sz w:val="20"/>
          <w:szCs w:val="20"/>
        </w:rPr>
        <w:t>Internet</w:t>
      </w:r>
      <w:r>
        <w:rPr>
          <w:rFonts w:ascii="Hind Light" w:eastAsia="Hind Light" w:hAnsi="Hind Light" w:cs="Hind Light"/>
          <w:sz w:val="20"/>
          <w:szCs w:val="20"/>
        </w:rPr>
        <w:t xml:space="preserve"> Institute, who suggested governments set up a regulatory body to oversee soft and gradual changes in quality standards implemented </w:t>
      </w:r>
      <w:r w:rsidR="0031677C">
        <w:rPr>
          <w:rFonts w:ascii="Hind Light" w:eastAsia="Hind Light" w:hAnsi="Hind Light" w:cs="Hind Light"/>
          <w:sz w:val="20"/>
          <w:szCs w:val="20"/>
        </w:rPr>
        <w:t>by companies</w:t>
      </w:r>
      <w:r>
        <w:rPr>
          <w:rFonts w:ascii="Hind Light" w:eastAsia="Hind Light" w:hAnsi="Hind Light" w:cs="Hind Light"/>
          <w:sz w:val="20"/>
          <w:szCs w:val="20"/>
        </w:rPr>
        <w:t xml:space="preserve">, for example producing more frequent transparency reports and independent audits of the company’s data sets. </w:t>
      </w:r>
    </w:p>
    <w:p w14:paraId="0FC5F6C6" w14:textId="77777777" w:rsidR="00E876D7" w:rsidRDefault="00E876D7" w:rsidP="00B911D6">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Several respondents agreed </w:t>
      </w:r>
      <w:r w:rsidR="0031677C">
        <w:rPr>
          <w:rFonts w:ascii="Hind Light" w:eastAsia="Hind Light" w:hAnsi="Hind Light" w:cs="Hind Light"/>
          <w:sz w:val="20"/>
          <w:szCs w:val="20"/>
        </w:rPr>
        <w:t xml:space="preserve">that </w:t>
      </w:r>
      <w:r>
        <w:rPr>
          <w:rFonts w:ascii="Hind Light" w:eastAsia="Hind Light" w:hAnsi="Hind Light" w:cs="Hind Light"/>
          <w:sz w:val="20"/>
          <w:szCs w:val="20"/>
        </w:rPr>
        <w:t xml:space="preserve">competition law would not fix </w:t>
      </w:r>
      <w:r w:rsidR="002958B3">
        <w:rPr>
          <w:rFonts w:ascii="Hind Light" w:eastAsia="Hind Light" w:hAnsi="Hind Light" w:cs="Hind Light"/>
          <w:sz w:val="20"/>
          <w:szCs w:val="20"/>
        </w:rPr>
        <w:t xml:space="preserve">all of the </w:t>
      </w:r>
      <w:r w:rsidR="002E4DD2">
        <w:rPr>
          <w:rFonts w:ascii="Hind Light" w:eastAsia="Hind Light" w:hAnsi="Hind Light" w:cs="Hind Light"/>
          <w:sz w:val="20"/>
          <w:szCs w:val="20"/>
        </w:rPr>
        <w:t>Internet</w:t>
      </w:r>
      <w:r w:rsidR="002958B3">
        <w:rPr>
          <w:rFonts w:ascii="Hind Light" w:eastAsia="Hind Light" w:hAnsi="Hind Light" w:cs="Hind Light"/>
          <w:sz w:val="20"/>
          <w:szCs w:val="20"/>
        </w:rPr>
        <w:t>’s</w:t>
      </w:r>
      <w:r>
        <w:rPr>
          <w:rFonts w:ascii="Hind Light" w:eastAsia="Hind Light" w:hAnsi="Hind Light" w:cs="Hind Light"/>
          <w:sz w:val="20"/>
          <w:szCs w:val="20"/>
        </w:rPr>
        <w:t xml:space="preserve"> problems, and that breaking up platforms may not meet certain public interest goals, and could even have the reverse effect on addressing problems like hate speech. Consolidation rather than fragmentation of </w:t>
      </w:r>
      <w:r w:rsidR="002E4DD2">
        <w:rPr>
          <w:rFonts w:ascii="Hind Light" w:eastAsia="Hind Light" w:hAnsi="Hind Light" w:cs="Hind Light"/>
          <w:sz w:val="20"/>
          <w:szCs w:val="20"/>
        </w:rPr>
        <w:t>Internet</w:t>
      </w:r>
      <w:r>
        <w:rPr>
          <w:rFonts w:ascii="Hind Light" w:eastAsia="Hind Light" w:hAnsi="Hind Light" w:cs="Hind Light"/>
          <w:sz w:val="20"/>
          <w:szCs w:val="20"/>
        </w:rPr>
        <w:t xml:space="preserve"> platforms should therefore be supported</w:t>
      </w:r>
      <w:r w:rsidR="002958B3">
        <w:rPr>
          <w:rFonts w:ascii="Hind Light" w:eastAsia="Hind Light" w:hAnsi="Hind Light" w:cs="Hind Light"/>
          <w:sz w:val="20"/>
          <w:szCs w:val="20"/>
        </w:rPr>
        <w:t>, said the</w:t>
      </w:r>
      <w:r w:rsidR="0031677C">
        <w:rPr>
          <w:rFonts w:ascii="Hind Light" w:eastAsia="Hind Light" w:hAnsi="Hind Light" w:cs="Hind Light"/>
          <w:sz w:val="20"/>
          <w:szCs w:val="20"/>
        </w:rPr>
        <w:t>se</w:t>
      </w:r>
      <w:r w:rsidR="002958B3">
        <w:rPr>
          <w:rFonts w:ascii="Hind Light" w:eastAsia="Hind Light" w:hAnsi="Hind Light" w:cs="Hind Light"/>
          <w:sz w:val="20"/>
          <w:szCs w:val="20"/>
        </w:rPr>
        <w:t xml:space="preserve"> evidence-givers. </w:t>
      </w:r>
    </w:p>
    <w:p w14:paraId="3898BB15" w14:textId="77777777" w:rsidR="00E876D7" w:rsidRDefault="00E876D7" w:rsidP="00E876D7">
      <w:pPr>
        <w:spacing w:line="280" w:lineRule="exact"/>
        <w:jc w:val="both"/>
        <w:rPr>
          <w:rFonts w:ascii="Hind Light" w:eastAsia="Hind Light" w:hAnsi="Hind Light" w:cs="Hind Light"/>
          <w:sz w:val="20"/>
          <w:szCs w:val="20"/>
        </w:rPr>
      </w:pPr>
    </w:p>
    <w:p w14:paraId="564DF476" w14:textId="77777777" w:rsidR="00CD52A2" w:rsidRPr="00CD52A2" w:rsidRDefault="00CD52A2" w:rsidP="00CD52A2">
      <w:pPr>
        <w:spacing w:line="280" w:lineRule="exact"/>
        <w:jc w:val="both"/>
        <w:rPr>
          <w:rFonts w:ascii="Hind Light" w:eastAsia="Hind Light" w:hAnsi="Hind Light" w:cs="Hind Light"/>
          <w:sz w:val="20"/>
          <w:szCs w:val="20"/>
        </w:rPr>
      </w:pPr>
    </w:p>
    <w:sectPr w:rsidR="00CD52A2" w:rsidRPr="00CD52A2" w:rsidSect="00CC5B49">
      <w:headerReference w:type="default" r:id="rId27"/>
      <w:footerReference w:type="default" r:id="rId28"/>
      <w:headerReference w:type="first" r:id="rId29"/>
      <w:footerReference w:type="first" r:id="rId30"/>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151E98" w14:textId="77777777" w:rsidR="006C5250" w:rsidRDefault="006C5250" w:rsidP="0094598F">
      <w:r>
        <w:separator/>
      </w:r>
    </w:p>
  </w:endnote>
  <w:endnote w:type="continuationSeparator" w:id="0">
    <w:p w14:paraId="1AE3902B" w14:textId="77777777" w:rsidR="006C5250" w:rsidRDefault="006C5250"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19B8C" w14:textId="77777777" w:rsidR="00E1310D" w:rsidRPr="00B41A52" w:rsidRDefault="00E1310D"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1CC77B47" wp14:editId="2BD11482">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4DD2">
      <w:rPr>
        <w:rFonts w:ascii="Hind Medium" w:hAnsi="Hind Medium"/>
      </w:rPr>
      <w:t>Internet</w:t>
    </w:r>
    <w:r w:rsidRPr="00236E16">
      <w:rPr>
        <w:rFonts w:ascii="Hind Medium" w:hAnsi="Hind Medium"/>
      </w:rPr>
      <w:t>society.org</w:t>
    </w:r>
    <w:r>
      <w:tab/>
    </w:r>
    <w:r w:rsidRPr="009F2B94">
      <w:t>@</w:t>
    </w:r>
    <w:r w:rsidR="002E4DD2">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34A18" w14:textId="77777777" w:rsidR="00E1310D" w:rsidRDefault="002E4DD2">
    <w:pPr>
      <w:pStyle w:val="Pieddepage"/>
    </w:pPr>
    <w:r>
      <w:rPr>
        <w:rFonts w:ascii="Hind Medium" w:hAnsi="Hind Medium"/>
      </w:rPr>
      <w:t>Internet</w:t>
    </w:r>
    <w:r w:rsidR="00E1310D" w:rsidRPr="00236E16">
      <w:rPr>
        <w:rFonts w:ascii="Hind Medium" w:hAnsi="Hind Medium"/>
      </w:rPr>
      <w:t>society.org</w:t>
    </w:r>
    <w:r w:rsidR="00E1310D">
      <w:tab/>
    </w:r>
    <w:r w:rsidR="00E1310D" w:rsidRPr="009F2B94">
      <w:t>@</w:t>
    </w:r>
    <w:r>
      <w:t>Internet</w:t>
    </w:r>
    <w:r w:rsidR="00E1310D"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6D7198" w14:textId="77777777" w:rsidR="006C5250" w:rsidRDefault="006C5250" w:rsidP="0094598F">
      <w:r>
        <w:separator/>
      </w:r>
    </w:p>
  </w:footnote>
  <w:footnote w:type="continuationSeparator" w:id="0">
    <w:p w14:paraId="058A7FF9" w14:textId="77777777" w:rsidR="006C5250" w:rsidRDefault="006C5250"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61813" w14:textId="77777777" w:rsidR="00E1310D" w:rsidRPr="00E005F2" w:rsidRDefault="00E1310D"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4F5B80">
      <w:rPr>
        <w:rStyle w:val="Numrodepage"/>
        <w:noProof/>
        <w:sz w:val="18"/>
        <w:szCs w:val="18"/>
      </w:rPr>
      <w:t>2</w:t>
    </w:r>
    <w:r w:rsidRPr="00E005F2">
      <w:rPr>
        <w:rStyle w:val="Numrodepage"/>
        <w:sz w:val="18"/>
        <w:szCs w:val="18"/>
      </w:rPr>
      <w:fldChar w:fldCharType="end"/>
    </w:r>
  </w:p>
  <w:p w14:paraId="3186552A" w14:textId="77777777" w:rsidR="00E1310D" w:rsidRPr="00E005F2" w:rsidRDefault="00E1310D" w:rsidP="00CC5B49">
    <w:pPr>
      <w:pStyle w:val="En-tte"/>
      <w:spacing w:line="180" w:lineRule="exact"/>
      <w:ind w:right="360"/>
      <w:rPr>
        <w:spacing w:val="4"/>
        <w:szCs w:val="12"/>
      </w:rPr>
    </w:pPr>
    <w:r>
      <w:rPr>
        <w:spacing w:val="4"/>
        <w:szCs w:val="12"/>
      </w:rPr>
      <w:t xml:space="preserve">European Regional Bureau Newsletter: </w:t>
    </w:r>
    <w:r>
      <w:t xml:space="preserve">28 April 2018 </w:t>
    </w:r>
    <w:r w:rsidRPr="00591399">
      <w:t xml:space="preserve">– </w:t>
    </w:r>
    <w:r>
      <w:t>4 May 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E1310D" w14:paraId="2E8B7108" w14:textId="77777777" w:rsidTr="00CC5B49">
      <w:trPr>
        <w:cantSplit/>
        <w:trHeight w:hRule="exact" w:val="1247"/>
      </w:trPr>
      <w:tc>
        <w:tcPr>
          <w:tcW w:w="10402" w:type="dxa"/>
          <w:shd w:val="clear" w:color="auto" w:fill="auto"/>
        </w:tcPr>
        <w:p w14:paraId="1E0E8831" w14:textId="77777777" w:rsidR="00E1310D" w:rsidRDefault="00E1310D" w:rsidP="00CC5B49">
          <w:pPr>
            <w:pStyle w:val="Documenttitle"/>
          </w:pPr>
        </w:p>
      </w:tc>
    </w:tr>
    <w:tr w:rsidR="00E1310D" w:rsidRPr="00E7106E" w14:paraId="4263FA8B" w14:textId="77777777" w:rsidTr="00CC5B49">
      <w:trPr>
        <w:cantSplit/>
        <w:trHeight w:hRule="exact" w:val="3232"/>
      </w:trPr>
      <w:tc>
        <w:tcPr>
          <w:tcW w:w="10402" w:type="dxa"/>
          <w:shd w:val="clear" w:color="auto" w:fill="auto"/>
          <w:vAlign w:val="center"/>
        </w:tcPr>
        <w:p w14:paraId="367C0058" w14:textId="77777777" w:rsidR="0032722F" w:rsidRDefault="0032722F" w:rsidP="00CC5B49">
          <w:pPr>
            <w:pStyle w:val="Documenttitle"/>
          </w:pPr>
        </w:p>
        <w:p w14:paraId="4E2611E6" w14:textId="77777777" w:rsidR="00E1310D" w:rsidRDefault="00E1310D" w:rsidP="00CC5B49">
          <w:pPr>
            <w:pStyle w:val="Documenttitle"/>
          </w:pPr>
          <w:r>
            <w:t xml:space="preserve">European </w:t>
          </w:r>
          <w:r w:rsidR="0032722F">
            <w:t>Regional Bureau Newsletter</w:t>
          </w:r>
          <w:r w:rsidRPr="00E3372A">
            <w:t xml:space="preserve"> </w:t>
          </w:r>
        </w:p>
        <w:p w14:paraId="25898DE8" w14:textId="77777777" w:rsidR="0032722F" w:rsidRPr="0032722F" w:rsidRDefault="0032722F" w:rsidP="00CC5B49">
          <w:pPr>
            <w:pStyle w:val="Documenttitle"/>
            <w:rPr>
              <w:sz w:val="36"/>
            </w:rPr>
          </w:pPr>
          <w:r w:rsidRPr="0032722F">
            <w:rPr>
              <w:sz w:val="36"/>
            </w:rPr>
            <w:t>(Frédéric Donck)</w:t>
          </w:r>
        </w:p>
        <w:p w14:paraId="2915BF98" w14:textId="77777777" w:rsidR="00E1310D" w:rsidRPr="00E7106E" w:rsidRDefault="00E1310D" w:rsidP="00CC5B49">
          <w:pPr>
            <w:pStyle w:val="Documenttitle"/>
          </w:pPr>
        </w:p>
      </w:tc>
    </w:tr>
    <w:tr w:rsidR="00E1310D" w:rsidRPr="00326E6B" w14:paraId="2ECE3E25" w14:textId="77777777" w:rsidTr="00CC5B49">
      <w:trPr>
        <w:cantSplit/>
        <w:trHeight w:hRule="exact" w:val="1134"/>
      </w:trPr>
      <w:tc>
        <w:tcPr>
          <w:tcW w:w="10402" w:type="dxa"/>
          <w:shd w:val="clear" w:color="auto" w:fill="auto"/>
        </w:tcPr>
        <w:p w14:paraId="108F758C" w14:textId="77777777" w:rsidR="00E1310D" w:rsidRDefault="00E1310D" w:rsidP="006B1AFE">
          <w:pPr>
            <w:pStyle w:val="Coverdate"/>
          </w:pPr>
          <w:r>
            <w:t xml:space="preserve">28 April 2018 </w:t>
          </w:r>
          <w:r w:rsidRPr="00591399">
            <w:t xml:space="preserve">– </w:t>
          </w:r>
          <w:r>
            <w:t>4 May 2018</w:t>
          </w:r>
        </w:p>
        <w:p w14:paraId="6A9D4789" w14:textId="77777777" w:rsidR="00E1310D" w:rsidRPr="00591399" w:rsidRDefault="006C5250" w:rsidP="006B1AFE">
          <w:pPr>
            <w:pStyle w:val="Coverdate"/>
          </w:pPr>
          <w:hyperlink r:id="rId1" w:history="1">
            <w:r w:rsidR="00E1310D" w:rsidRPr="00C45E9B">
              <w:rPr>
                <w:rStyle w:val="Lienhypertexte"/>
              </w:rPr>
              <w:t>https://www.</w:t>
            </w:r>
            <w:r w:rsidR="002E4DD2">
              <w:rPr>
                <w:rStyle w:val="Lienhypertexte"/>
              </w:rPr>
              <w:t>Internet</w:t>
            </w:r>
            <w:r w:rsidR="00E1310D" w:rsidRPr="00C45E9B">
              <w:rPr>
                <w:rStyle w:val="Lienhypertexte"/>
              </w:rPr>
              <w:t>society.org/regions/europe/</w:t>
            </w:r>
          </w:hyperlink>
        </w:p>
      </w:tc>
    </w:tr>
  </w:tbl>
  <w:p w14:paraId="3932D015" w14:textId="77777777" w:rsidR="00E1310D" w:rsidRDefault="00E1310D">
    <w:pPr>
      <w:pStyle w:val="En-tte"/>
    </w:pPr>
    <w:r>
      <w:rPr>
        <w:noProof/>
        <w:lang w:val="fr-FR" w:eastAsia="fr-FR"/>
      </w:rPr>
      <w:drawing>
        <wp:anchor distT="0" distB="0" distL="114300" distR="114300" simplePos="0" relativeHeight="251660288" behindDoc="1" locked="0" layoutInCell="1" allowOverlap="1" wp14:anchorId="0F0C7E2B" wp14:editId="6D510146">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71DEC"/>
    <w:multiLevelType w:val="hybridMultilevel"/>
    <w:tmpl w:val="31C84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470F07"/>
    <w:multiLevelType w:val="hybridMultilevel"/>
    <w:tmpl w:val="753A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6D73EA"/>
    <w:multiLevelType w:val="hybridMultilevel"/>
    <w:tmpl w:val="49FA8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F829D7"/>
    <w:multiLevelType w:val="hybridMultilevel"/>
    <w:tmpl w:val="B1C0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AC130F"/>
    <w:multiLevelType w:val="hybridMultilevel"/>
    <w:tmpl w:val="B53E9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D42B33"/>
    <w:multiLevelType w:val="hybridMultilevel"/>
    <w:tmpl w:val="EE34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F94BC7"/>
    <w:multiLevelType w:val="hybridMultilevel"/>
    <w:tmpl w:val="8BD4B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B0E6676"/>
    <w:multiLevelType w:val="hybridMultilevel"/>
    <w:tmpl w:val="1FEE5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786519B7"/>
    <w:multiLevelType w:val="hybridMultilevel"/>
    <w:tmpl w:val="71044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8"/>
  </w:num>
  <w:num w:numId="4">
    <w:abstractNumId w:val="3"/>
  </w:num>
  <w:num w:numId="5">
    <w:abstractNumId w:val="9"/>
  </w:num>
  <w:num w:numId="6">
    <w:abstractNumId w:val="7"/>
  </w:num>
  <w:num w:numId="7">
    <w:abstractNumId w:val="2"/>
  </w:num>
  <w:num w:numId="8">
    <w:abstractNumId w:val="1"/>
  </w:num>
  <w:num w:numId="9">
    <w:abstractNumId w:val="5"/>
  </w:num>
  <w:num w:numId="1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4AEB"/>
    <w:rsid w:val="000259A2"/>
    <w:rsid w:val="0002698F"/>
    <w:rsid w:val="00027703"/>
    <w:rsid w:val="000277E6"/>
    <w:rsid w:val="00027926"/>
    <w:rsid w:val="00030067"/>
    <w:rsid w:val="00030655"/>
    <w:rsid w:val="000309F0"/>
    <w:rsid w:val="00031087"/>
    <w:rsid w:val="00031252"/>
    <w:rsid w:val="0003255E"/>
    <w:rsid w:val="000327B3"/>
    <w:rsid w:val="00032D5A"/>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1FA3"/>
    <w:rsid w:val="00052F96"/>
    <w:rsid w:val="000533DB"/>
    <w:rsid w:val="00054831"/>
    <w:rsid w:val="000549CE"/>
    <w:rsid w:val="00054F33"/>
    <w:rsid w:val="00055316"/>
    <w:rsid w:val="00055846"/>
    <w:rsid w:val="00055956"/>
    <w:rsid w:val="00055D10"/>
    <w:rsid w:val="00055F64"/>
    <w:rsid w:val="00057DF9"/>
    <w:rsid w:val="000606BD"/>
    <w:rsid w:val="00060D01"/>
    <w:rsid w:val="00060F43"/>
    <w:rsid w:val="000615E5"/>
    <w:rsid w:val="000627CD"/>
    <w:rsid w:val="000633D3"/>
    <w:rsid w:val="000650FD"/>
    <w:rsid w:val="00065949"/>
    <w:rsid w:val="00065CCB"/>
    <w:rsid w:val="00066252"/>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21A"/>
    <w:rsid w:val="0008165A"/>
    <w:rsid w:val="00081FE8"/>
    <w:rsid w:val="000830D0"/>
    <w:rsid w:val="0008569F"/>
    <w:rsid w:val="000857E5"/>
    <w:rsid w:val="000860A7"/>
    <w:rsid w:val="00087201"/>
    <w:rsid w:val="00087E3A"/>
    <w:rsid w:val="00087F53"/>
    <w:rsid w:val="0009125B"/>
    <w:rsid w:val="00091468"/>
    <w:rsid w:val="00091820"/>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4EB7"/>
    <w:rsid w:val="000A5339"/>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35B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5ACA"/>
    <w:rsid w:val="00126021"/>
    <w:rsid w:val="0012683D"/>
    <w:rsid w:val="00126EFE"/>
    <w:rsid w:val="00130376"/>
    <w:rsid w:val="00130ADD"/>
    <w:rsid w:val="00130F4B"/>
    <w:rsid w:val="00131B23"/>
    <w:rsid w:val="0013271F"/>
    <w:rsid w:val="001336A9"/>
    <w:rsid w:val="0013434D"/>
    <w:rsid w:val="00134C58"/>
    <w:rsid w:val="00134F47"/>
    <w:rsid w:val="00134F7D"/>
    <w:rsid w:val="00135111"/>
    <w:rsid w:val="00137CE2"/>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4CD2"/>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FA5"/>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EA5"/>
    <w:rsid w:val="001810EE"/>
    <w:rsid w:val="001815E1"/>
    <w:rsid w:val="0018221E"/>
    <w:rsid w:val="00182D0F"/>
    <w:rsid w:val="00183664"/>
    <w:rsid w:val="00183F44"/>
    <w:rsid w:val="00184117"/>
    <w:rsid w:val="001842B2"/>
    <w:rsid w:val="001855BA"/>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1345"/>
    <w:rsid w:val="001F1FFF"/>
    <w:rsid w:val="001F2CA2"/>
    <w:rsid w:val="001F311E"/>
    <w:rsid w:val="001F340E"/>
    <w:rsid w:val="001F3FF2"/>
    <w:rsid w:val="001F575E"/>
    <w:rsid w:val="001F5877"/>
    <w:rsid w:val="001F5DF5"/>
    <w:rsid w:val="001F6583"/>
    <w:rsid w:val="00200010"/>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5B"/>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1A74"/>
    <w:rsid w:val="00242400"/>
    <w:rsid w:val="002425EB"/>
    <w:rsid w:val="002427DA"/>
    <w:rsid w:val="00244AD9"/>
    <w:rsid w:val="00244F89"/>
    <w:rsid w:val="0024524E"/>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1A03"/>
    <w:rsid w:val="00274EE7"/>
    <w:rsid w:val="00276144"/>
    <w:rsid w:val="00276819"/>
    <w:rsid w:val="00276A60"/>
    <w:rsid w:val="00277A5C"/>
    <w:rsid w:val="00277CF5"/>
    <w:rsid w:val="00277FA9"/>
    <w:rsid w:val="002814D0"/>
    <w:rsid w:val="00282228"/>
    <w:rsid w:val="002824E0"/>
    <w:rsid w:val="00282576"/>
    <w:rsid w:val="00282BF1"/>
    <w:rsid w:val="00282C8D"/>
    <w:rsid w:val="00283A5D"/>
    <w:rsid w:val="00284099"/>
    <w:rsid w:val="002854EB"/>
    <w:rsid w:val="00285A1A"/>
    <w:rsid w:val="002863FD"/>
    <w:rsid w:val="002876B3"/>
    <w:rsid w:val="002877C5"/>
    <w:rsid w:val="002901D1"/>
    <w:rsid w:val="00290B23"/>
    <w:rsid w:val="0029121B"/>
    <w:rsid w:val="00291688"/>
    <w:rsid w:val="00291978"/>
    <w:rsid w:val="00291DCA"/>
    <w:rsid w:val="002936F5"/>
    <w:rsid w:val="00293A0B"/>
    <w:rsid w:val="00294C1A"/>
    <w:rsid w:val="00295202"/>
    <w:rsid w:val="002958B3"/>
    <w:rsid w:val="0029681B"/>
    <w:rsid w:val="0029746F"/>
    <w:rsid w:val="002A0C5B"/>
    <w:rsid w:val="002A0D41"/>
    <w:rsid w:val="002A193B"/>
    <w:rsid w:val="002A257E"/>
    <w:rsid w:val="002A28B4"/>
    <w:rsid w:val="002A52F1"/>
    <w:rsid w:val="002A6C3A"/>
    <w:rsid w:val="002B0878"/>
    <w:rsid w:val="002B1189"/>
    <w:rsid w:val="002B2068"/>
    <w:rsid w:val="002B2FA5"/>
    <w:rsid w:val="002B6ECE"/>
    <w:rsid w:val="002B7CCA"/>
    <w:rsid w:val="002C01F5"/>
    <w:rsid w:val="002C058E"/>
    <w:rsid w:val="002C17F5"/>
    <w:rsid w:val="002C3133"/>
    <w:rsid w:val="002C3358"/>
    <w:rsid w:val="002C3527"/>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4DD2"/>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77C"/>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2722F"/>
    <w:rsid w:val="003309B6"/>
    <w:rsid w:val="003309E6"/>
    <w:rsid w:val="00331438"/>
    <w:rsid w:val="00331D1E"/>
    <w:rsid w:val="00331FED"/>
    <w:rsid w:val="0033207F"/>
    <w:rsid w:val="00336BF8"/>
    <w:rsid w:val="003401DB"/>
    <w:rsid w:val="00340579"/>
    <w:rsid w:val="00342CCD"/>
    <w:rsid w:val="00342DC3"/>
    <w:rsid w:val="003433E7"/>
    <w:rsid w:val="003435DA"/>
    <w:rsid w:val="00350EB3"/>
    <w:rsid w:val="003517DE"/>
    <w:rsid w:val="00351BBE"/>
    <w:rsid w:val="00351C3F"/>
    <w:rsid w:val="00353B0C"/>
    <w:rsid w:val="003551DB"/>
    <w:rsid w:val="00360344"/>
    <w:rsid w:val="003607E6"/>
    <w:rsid w:val="003608EC"/>
    <w:rsid w:val="00361712"/>
    <w:rsid w:val="00361C1A"/>
    <w:rsid w:val="00361C61"/>
    <w:rsid w:val="00364456"/>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2AED"/>
    <w:rsid w:val="00383702"/>
    <w:rsid w:val="00383D01"/>
    <w:rsid w:val="00384498"/>
    <w:rsid w:val="003845B1"/>
    <w:rsid w:val="00384ACA"/>
    <w:rsid w:val="003850AC"/>
    <w:rsid w:val="003869C5"/>
    <w:rsid w:val="00386F67"/>
    <w:rsid w:val="00387B31"/>
    <w:rsid w:val="00387C22"/>
    <w:rsid w:val="00390F5C"/>
    <w:rsid w:val="0039349D"/>
    <w:rsid w:val="00393CFF"/>
    <w:rsid w:val="0039487E"/>
    <w:rsid w:val="00394C50"/>
    <w:rsid w:val="003950A6"/>
    <w:rsid w:val="00396536"/>
    <w:rsid w:val="00397258"/>
    <w:rsid w:val="003976BF"/>
    <w:rsid w:val="003A08AC"/>
    <w:rsid w:val="003A10A7"/>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281E"/>
    <w:rsid w:val="003C2AB1"/>
    <w:rsid w:val="003C3178"/>
    <w:rsid w:val="003C3C1F"/>
    <w:rsid w:val="003C4003"/>
    <w:rsid w:val="003C49C6"/>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7117"/>
    <w:rsid w:val="004402DF"/>
    <w:rsid w:val="00440FE0"/>
    <w:rsid w:val="00441B04"/>
    <w:rsid w:val="0044253F"/>
    <w:rsid w:val="00442BC9"/>
    <w:rsid w:val="00442DB7"/>
    <w:rsid w:val="004435DA"/>
    <w:rsid w:val="0044388D"/>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14B"/>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1CEC"/>
    <w:rsid w:val="0049280B"/>
    <w:rsid w:val="00492B50"/>
    <w:rsid w:val="00492BC2"/>
    <w:rsid w:val="004939A0"/>
    <w:rsid w:val="004977E4"/>
    <w:rsid w:val="004A0EBE"/>
    <w:rsid w:val="004A17C9"/>
    <w:rsid w:val="004A1A36"/>
    <w:rsid w:val="004A1CBA"/>
    <w:rsid w:val="004A3F59"/>
    <w:rsid w:val="004A53F2"/>
    <w:rsid w:val="004A56BA"/>
    <w:rsid w:val="004A5722"/>
    <w:rsid w:val="004A5AA3"/>
    <w:rsid w:val="004A6BB5"/>
    <w:rsid w:val="004B0126"/>
    <w:rsid w:val="004B179D"/>
    <w:rsid w:val="004B1CF4"/>
    <w:rsid w:val="004B35A4"/>
    <w:rsid w:val="004B3EE5"/>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E5A74"/>
    <w:rsid w:val="004F138D"/>
    <w:rsid w:val="004F1AD2"/>
    <w:rsid w:val="004F2ED4"/>
    <w:rsid w:val="004F3A9A"/>
    <w:rsid w:val="004F5B80"/>
    <w:rsid w:val="004F5CA2"/>
    <w:rsid w:val="004F5CFD"/>
    <w:rsid w:val="004F6F3E"/>
    <w:rsid w:val="004F7459"/>
    <w:rsid w:val="004F7B14"/>
    <w:rsid w:val="004F7BE6"/>
    <w:rsid w:val="004F7C3B"/>
    <w:rsid w:val="005000D8"/>
    <w:rsid w:val="005003B2"/>
    <w:rsid w:val="00501136"/>
    <w:rsid w:val="00502768"/>
    <w:rsid w:val="00503986"/>
    <w:rsid w:val="00503A6E"/>
    <w:rsid w:val="005047FB"/>
    <w:rsid w:val="00504F9E"/>
    <w:rsid w:val="00505735"/>
    <w:rsid w:val="00505BE0"/>
    <w:rsid w:val="005061F7"/>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1857"/>
    <w:rsid w:val="00533B1F"/>
    <w:rsid w:val="0053533E"/>
    <w:rsid w:val="00540003"/>
    <w:rsid w:val="005402B3"/>
    <w:rsid w:val="005411B0"/>
    <w:rsid w:val="00541208"/>
    <w:rsid w:val="00541BC3"/>
    <w:rsid w:val="00541D9A"/>
    <w:rsid w:val="00542688"/>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382"/>
    <w:rsid w:val="00566785"/>
    <w:rsid w:val="00570BA9"/>
    <w:rsid w:val="0057119A"/>
    <w:rsid w:val="00571EDA"/>
    <w:rsid w:val="005727AE"/>
    <w:rsid w:val="00572D2B"/>
    <w:rsid w:val="00573DD5"/>
    <w:rsid w:val="00574634"/>
    <w:rsid w:val="00574DA8"/>
    <w:rsid w:val="00574E5D"/>
    <w:rsid w:val="00575553"/>
    <w:rsid w:val="00575750"/>
    <w:rsid w:val="0057592E"/>
    <w:rsid w:val="00576D30"/>
    <w:rsid w:val="0057745C"/>
    <w:rsid w:val="005817E0"/>
    <w:rsid w:val="00581B45"/>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5CD"/>
    <w:rsid w:val="00595D65"/>
    <w:rsid w:val="00595DC8"/>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BB"/>
    <w:rsid w:val="005C0A28"/>
    <w:rsid w:val="005C0B1E"/>
    <w:rsid w:val="005C0E67"/>
    <w:rsid w:val="005C1CA0"/>
    <w:rsid w:val="005C2BE8"/>
    <w:rsid w:val="005C2CB7"/>
    <w:rsid w:val="005C3628"/>
    <w:rsid w:val="005C3955"/>
    <w:rsid w:val="005C5CAF"/>
    <w:rsid w:val="005C6811"/>
    <w:rsid w:val="005C6C92"/>
    <w:rsid w:val="005C6F9F"/>
    <w:rsid w:val="005C7E65"/>
    <w:rsid w:val="005D0241"/>
    <w:rsid w:val="005D0E2D"/>
    <w:rsid w:val="005D29E6"/>
    <w:rsid w:val="005D394E"/>
    <w:rsid w:val="005D395F"/>
    <w:rsid w:val="005D3FA2"/>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078"/>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24E2"/>
    <w:rsid w:val="00613003"/>
    <w:rsid w:val="0061375F"/>
    <w:rsid w:val="006139DB"/>
    <w:rsid w:val="0061553A"/>
    <w:rsid w:val="006158AD"/>
    <w:rsid w:val="00615987"/>
    <w:rsid w:val="00616D30"/>
    <w:rsid w:val="0061727D"/>
    <w:rsid w:val="00617687"/>
    <w:rsid w:val="00620865"/>
    <w:rsid w:val="00620AEE"/>
    <w:rsid w:val="006220E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5FB0"/>
    <w:rsid w:val="00657B87"/>
    <w:rsid w:val="00660368"/>
    <w:rsid w:val="006603F4"/>
    <w:rsid w:val="00661035"/>
    <w:rsid w:val="006614D2"/>
    <w:rsid w:val="006624B6"/>
    <w:rsid w:val="00662933"/>
    <w:rsid w:val="00663F55"/>
    <w:rsid w:val="006647C2"/>
    <w:rsid w:val="00664C04"/>
    <w:rsid w:val="00664C48"/>
    <w:rsid w:val="00665970"/>
    <w:rsid w:val="00667B84"/>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A0DE5"/>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AC2"/>
    <w:rsid w:val="006B710E"/>
    <w:rsid w:val="006B76A8"/>
    <w:rsid w:val="006B7E50"/>
    <w:rsid w:val="006C07C0"/>
    <w:rsid w:val="006C130C"/>
    <w:rsid w:val="006C364C"/>
    <w:rsid w:val="006C38BB"/>
    <w:rsid w:val="006C426D"/>
    <w:rsid w:val="006C4FB4"/>
    <w:rsid w:val="006C5250"/>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BFD"/>
    <w:rsid w:val="006D6FCA"/>
    <w:rsid w:val="006D76A8"/>
    <w:rsid w:val="006E003F"/>
    <w:rsid w:val="006E0D06"/>
    <w:rsid w:val="006E0D66"/>
    <w:rsid w:val="006E105E"/>
    <w:rsid w:val="006E113C"/>
    <w:rsid w:val="006E2047"/>
    <w:rsid w:val="006E2D49"/>
    <w:rsid w:val="006E37A8"/>
    <w:rsid w:val="006E39D5"/>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662D"/>
    <w:rsid w:val="007077CF"/>
    <w:rsid w:val="00707B90"/>
    <w:rsid w:val="00710FCA"/>
    <w:rsid w:val="00711404"/>
    <w:rsid w:val="00711737"/>
    <w:rsid w:val="00711C6B"/>
    <w:rsid w:val="0071306F"/>
    <w:rsid w:val="00713419"/>
    <w:rsid w:val="00713678"/>
    <w:rsid w:val="007142A8"/>
    <w:rsid w:val="007148ED"/>
    <w:rsid w:val="00714F66"/>
    <w:rsid w:val="0071564B"/>
    <w:rsid w:val="00715A1A"/>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2E4"/>
    <w:rsid w:val="00770E1B"/>
    <w:rsid w:val="00771117"/>
    <w:rsid w:val="00772D14"/>
    <w:rsid w:val="00773DEF"/>
    <w:rsid w:val="00774B7D"/>
    <w:rsid w:val="00774D10"/>
    <w:rsid w:val="00776605"/>
    <w:rsid w:val="00776DE8"/>
    <w:rsid w:val="0077772B"/>
    <w:rsid w:val="0077797F"/>
    <w:rsid w:val="00777A76"/>
    <w:rsid w:val="007815C3"/>
    <w:rsid w:val="00781ED8"/>
    <w:rsid w:val="00782187"/>
    <w:rsid w:val="00783F7E"/>
    <w:rsid w:val="0078400B"/>
    <w:rsid w:val="00784135"/>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5AF"/>
    <w:rsid w:val="007A6D3D"/>
    <w:rsid w:val="007A78D8"/>
    <w:rsid w:val="007B0398"/>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0DF2"/>
    <w:rsid w:val="007D102B"/>
    <w:rsid w:val="007D2800"/>
    <w:rsid w:val="007D2C23"/>
    <w:rsid w:val="007D2D28"/>
    <w:rsid w:val="007D45BF"/>
    <w:rsid w:val="007D54E6"/>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7F7E5B"/>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368A"/>
    <w:rsid w:val="00825155"/>
    <w:rsid w:val="00826C6E"/>
    <w:rsid w:val="0082718F"/>
    <w:rsid w:val="00830258"/>
    <w:rsid w:val="00830410"/>
    <w:rsid w:val="00830420"/>
    <w:rsid w:val="00830D3F"/>
    <w:rsid w:val="00832344"/>
    <w:rsid w:val="008326B1"/>
    <w:rsid w:val="00833124"/>
    <w:rsid w:val="00834B17"/>
    <w:rsid w:val="008355BB"/>
    <w:rsid w:val="00836D89"/>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23A"/>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5205"/>
    <w:rsid w:val="00896059"/>
    <w:rsid w:val="00896867"/>
    <w:rsid w:val="00897E59"/>
    <w:rsid w:val="008A069D"/>
    <w:rsid w:val="008A1170"/>
    <w:rsid w:val="008A1743"/>
    <w:rsid w:val="008A451A"/>
    <w:rsid w:val="008A4CE4"/>
    <w:rsid w:val="008A5171"/>
    <w:rsid w:val="008A5E27"/>
    <w:rsid w:val="008A629A"/>
    <w:rsid w:val="008A66E0"/>
    <w:rsid w:val="008A713C"/>
    <w:rsid w:val="008A726F"/>
    <w:rsid w:val="008A797A"/>
    <w:rsid w:val="008A7F1F"/>
    <w:rsid w:val="008B04C8"/>
    <w:rsid w:val="008B3F2C"/>
    <w:rsid w:val="008B530A"/>
    <w:rsid w:val="008C0446"/>
    <w:rsid w:val="008C0C6A"/>
    <w:rsid w:val="008C4B20"/>
    <w:rsid w:val="008C5EE4"/>
    <w:rsid w:val="008C6229"/>
    <w:rsid w:val="008C725E"/>
    <w:rsid w:val="008C79BA"/>
    <w:rsid w:val="008C7ED5"/>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49F8"/>
    <w:rsid w:val="008E4ADC"/>
    <w:rsid w:val="008E4D5B"/>
    <w:rsid w:val="008E55D7"/>
    <w:rsid w:val="008E56A6"/>
    <w:rsid w:val="008E576D"/>
    <w:rsid w:val="008F0244"/>
    <w:rsid w:val="008F09D1"/>
    <w:rsid w:val="008F1C7C"/>
    <w:rsid w:val="008F307D"/>
    <w:rsid w:val="008F3B02"/>
    <w:rsid w:val="008F3E88"/>
    <w:rsid w:val="008F597D"/>
    <w:rsid w:val="008F6447"/>
    <w:rsid w:val="008F679D"/>
    <w:rsid w:val="008F67AC"/>
    <w:rsid w:val="008F6AA7"/>
    <w:rsid w:val="0090082B"/>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55959"/>
    <w:rsid w:val="00960488"/>
    <w:rsid w:val="00963D49"/>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233"/>
    <w:rsid w:val="009935F8"/>
    <w:rsid w:val="00993E00"/>
    <w:rsid w:val="009953FB"/>
    <w:rsid w:val="0099553F"/>
    <w:rsid w:val="00995EB5"/>
    <w:rsid w:val="0099737E"/>
    <w:rsid w:val="00997734"/>
    <w:rsid w:val="009A1D8B"/>
    <w:rsid w:val="009A252E"/>
    <w:rsid w:val="009A255C"/>
    <w:rsid w:val="009A3699"/>
    <w:rsid w:val="009A3ECF"/>
    <w:rsid w:val="009A486C"/>
    <w:rsid w:val="009A5AD4"/>
    <w:rsid w:val="009A6317"/>
    <w:rsid w:val="009A6576"/>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8A7"/>
    <w:rsid w:val="009C6D28"/>
    <w:rsid w:val="009C77B5"/>
    <w:rsid w:val="009C7F9D"/>
    <w:rsid w:val="009D0A92"/>
    <w:rsid w:val="009D14FF"/>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3F37"/>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829"/>
    <w:rsid w:val="00A44235"/>
    <w:rsid w:val="00A445AF"/>
    <w:rsid w:val="00A45E23"/>
    <w:rsid w:val="00A464D2"/>
    <w:rsid w:val="00A4699C"/>
    <w:rsid w:val="00A469EA"/>
    <w:rsid w:val="00A5142F"/>
    <w:rsid w:val="00A51D24"/>
    <w:rsid w:val="00A51DD8"/>
    <w:rsid w:val="00A5258A"/>
    <w:rsid w:val="00A536C6"/>
    <w:rsid w:val="00A54C79"/>
    <w:rsid w:val="00A559F8"/>
    <w:rsid w:val="00A55C51"/>
    <w:rsid w:val="00A56ED9"/>
    <w:rsid w:val="00A573BC"/>
    <w:rsid w:val="00A607F4"/>
    <w:rsid w:val="00A62216"/>
    <w:rsid w:val="00A6384F"/>
    <w:rsid w:val="00A6523C"/>
    <w:rsid w:val="00A65C4E"/>
    <w:rsid w:val="00A6792D"/>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09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7C02"/>
    <w:rsid w:val="00AD7CAF"/>
    <w:rsid w:val="00AE0436"/>
    <w:rsid w:val="00AE0774"/>
    <w:rsid w:val="00AE0909"/>
    <w:rsid w:val="00AE0960"/>
    <w:rsid w:val="00AE0BD2"/>
    <w:rsid w:val="00AE113F"/>
    <w:rsid w:val="00AE1218"/>
    <w:rsid w:val="00AE1FCB"/>
    <w:rsid w:val="00AE230B"/>
    <w:rsid w:val="00AE25C7"/>
    <w:rsid w:val="00AE342E"/>
    <w:rsid w:val="00AE42E9"/>
    <w:rsid w:val="00AE4A18"/>
    <w:rsid w:val="00AE4F06"/>
    <w:rsid w:val="00AE52C5"/>
    <w:rsid w:val="00AE5CC9"/>
    <w:rsid w:val="00AE6432"/>
    <w:rsid w:val="00AE64F3"/>
    <w:rsid w:val="00AE7924"/>
    <w:rsid w:val="00AE7F35"/>
    <w:rsid w:val="00AF00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2E04"/>
    <w:rsid w:val="00B13042"/>
    <w:rsid w:val="00B1409B"/>
    <w:rsid w:val="00B1478D"/>
    <w:rsid w:val="00B147C9"/>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1EA3"/>
    <w:rsid w:val="00B3239A"/>
    <w:rsid w:val="00B32D7E"/>
    <w:rsid w:val="00B3334C"/>
    <w:rsid w:val="00B335AE"/>
    <w:rsid w:val="00B35BCF"/>
    <w:rsid w:val="00B3649F"/>
    <w:rsid w:val="00B3664F"/>
    <w:rsid w:val="00B37416"/>
    <w:rsid w:val="00B40469"/>
    <w:rsid w:val="00B42D5C"/>
    <w:rsid w:val="00B42FC8"/>
    <w:rsid w:val="00B43655"/>
    <w:rsid w:val="00B43EBC"/>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E83"/>
    <w:rsid w:val="00B63D45"/>
    <w:rsid w:val="00B64E92"/>
    <w:rsid w:val="00B64E94"/>
    <w:rsid w:val="00B650E9"/>
    <w:rsid w:val="00B66B4E"/>
    <w:rsid w:val="00B66C3F"/>
    <w:rsid w:val="00B66F15"/>
    <w:rsid w:val="00B67017"/>
    <w:rsid w:val="00B67AFD"/>
    <w:rsid w:val="00B71777"/>
    <w:rsid w:val="00B731E1"/>
    <w:rsid w:val="00B734E1"/>
    <w:rsid w:val="00B738DE"/>
    <w:rsid w:val="00B7401C"/>
    <w:rsid w:val="00B74F62"/>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1D6"/>
    <w:rsid w:val="00B91292"/>
    <w:rsid w:val="00B92290"/>
    <w:rsid w:val="00B92F06"/>
    <w:rsid w:val="00B940AD"/>
    <w:rsid w:val="00B948BF"/>
    <w:rsid w:val="00B94F2D"/>
    <w:rsid w:val="00B96173"/>
    <w:rsid w:val="00B96524"/>
    <w:rsid w:val="00B9698E"/>
    <w:rsid w:val="00B96BA1"/>
    <w:rsid w:val="00B97F4A"/>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13E0"/>
    <w:rsid w:val="00BE212E"/>
    <w:rsid w:val="00BE2686"/>
    <w:rsid w:val="00BE3244"/>
    <w:rsid w:val="00BE33FF"/>
    <w:rsid w:val="00BE5008"/>
    <w:rsid w:val="00BE564B"/>
    <w:rsid w:val="00BE5969"/>
    <w:rsid w:val="00BE680B"/>
    <w:rsid w:val="00BE720E"/>
    <w:rsid w:val="00BF0E99"/>
    <w:rsid w:val="00BF14A3"/>
    <w:rsid w:val="00BF2AC2"/>
    <w:rsid w:val="00BF426B"/>
    <w:rsid w:val="00BF4440"/>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203D"/>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90C"/>
    <w:rsid w:val="00C25A26"/>
    <w:rsid w:val="00C25FAC"/>
    <w:rsid w:val="00C26184"/>
    <w:rsid w:val="00C26949"/>
    <w:rsid w:val="00C26F83"/>
    <w:rsid w:val="00C31ABA"/>
    <w:rsid w:val="00C32B9C"/>
    <w:rsid w:val="00C3354A"/>
    <w:rsid w:val="00C3360A"/>
    <w:rsid w:val="00C33A82"/>
    <w:rsid w:val="00C34AFF"/>
    <w:rsid w:val="00C34D35"/>
    <w:rsid w:val="00C34E75"/>
    <w:rsid w:val="00C3506B"/>
    <w:rsid w:val="00C352C1"/>
    <w:rsid w:val="00C359E2"/>
    <w:rsid w:val="00C36400"/>
    <w:rsid w:val="00C41ED3"/>
    <w:rsid w:val="00C42E16"/>
    <w:rsid w:val="00C42F0F"/>
    <w:rsid w:val="00C43220"/>
    <w:rsid w:val="00C432B4"/>
    <w:rsid w:val="00C43818"/>
    <w:rsid w:val="00C43D1C"/>
    <w:rsid w:val="00C4487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DE1"/>
    <w:rsid w:val="00C63FFC"/>
    <w:rsid w:val="00C649FB"/>
    <w:rsid w:val="00C64E08"/>
    <w:rsid w:val="00C65DE9"/>
    <w:rsid w:val="00C66284"/>
    <w:rsid w:val="00C66436"/>
    <w:rsid w:val="00C6678C"/>
    <w:rsid w:val="00C701C2"/>
    <w:rsid w:val="00C7302E"/>
    <w:rsid w:val="00C7304B"/>
    <w:rsid w:val="00C735CA"/>
    <w:rsid w:val="00C7614F"/>
    <w:rsid w:val="00C76769"/>
    <w:rsid w:val="00C76E6D"/>
    <w:rsid w:val="00C771A9"/>
    <w:rsid w:val="00C777AB"/>
    <w:rsid w:val="00C77888"/>
    <w:rsid w:val="00C77D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2B42"/>
    <w:rsid w:val="00C96CD1"/>
    <w:rsid w:val="00C9759A"/>
    <w:rsid w:val="00CA05AD"/>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CA"/>
    <w:rsid w:val="00CC4D8B"/>
    <w:rsid w:val="00CC5B49"/>
    <w:rsid w:val="00CC5CA8"/>
    <w:rsid w:val="00CC631A"/>
    <w:rsid w:val="00CC79BD"/>
    <w:rsid w:val="00CC7B2F"/>
    <w:rsid w:val="00CD187C"/>
    <w:rsid w:val="00CD2165"/>
    <w:rsid w:val="00CD42CF"/>
    <w:rsid w:val="00CD4B40"/>
    <w:rsid w:val="00CD52A2"/>
    <w:rsid w:val="00CD5353"/>
    <w:rsid w:val="00CD57A3"/>
    <w:rsid w:val="00CD6B1B"/>
    <w:rsid w:val="00CD6FEC"/>
    <w:rsid w:val="00CD7127"/>
    <w:rsid w:val="00CD79DF"/>
    <w:rsid w:val="00CD7F43"/>
    <w:rsid w:val="00CE0170"/>
    <w:rsid w:val="00CE06A1"/>
    <w:rsid w:val="00CE07AE"/>
    <w:rsid w:val="00CE0DF2"/>
    <w:rsid w:val="00CE0ECE"/>
    <w:rsid w:val="00CE22D5"/>
    <w:rsid w:val="00CE362F"/>
    <w:rsid w:val="00CE403E"/>
    <w:rsid w:val="00CE4283"/>
    <w:rsid w:val="00CE4A15"/>
    <w:rsid w:val="00CE5AAA"/>
    <w:rsid w:val="00CE5D5F"/>
    <w:rsid w:val="00CE5D67"/>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0EA"/>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A7C"/>
    <w:rsid w:val="00D15F2E"/>
    <w:rsid w:val="00D20A41"/>
    <w:rsid w:val="00D20E04"/>
    <w:rsid w:val="00D2108A"/>
    <w:rsid w:val="00D22623"/>
    <w:rsid w:val="00D238F7"/>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F9E"/>
    <w:rsid w:val="00D3508E"/>
    <w:rsid w:val="00D35A7B"/>
    <w:rsid w:val="00D36CA3"/>
    <w:rsid w:val="00D37371"/>
    <w:rsid w:val="00D37862"/>
    <w:rsid w:val="00D37B44"/>
    <w:rsid w:val="00D415D0"/>
    <w:rsid w:val="00D417FE"/>
    <w:rsid w:val="00D42367"/>
    <w:rsid w:val="00D4327C"/>
    <w:rsid w:val="00D442A6"/>
    <w:rsid w:val="00D46BB4"/>
    <w:rsid w:val="00D4715F"/>
    <w:rsid w:val="00D472DC"/>
    <w:rsid w:val="00D47A76"/>
    <w:rsid w:val="00D50570"/>
    <w:rsid w:val="00D5071F"/>
    <w:rsid w:val="00D508FC"/>
    <w:rsid w:val="00D513A1"/>
    <w:rsid w:val="00D5376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172"/>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F17"/>
    <w:rsid w:val="00DA539C"/>
    <w:rsid w:val="00DA5F90"/>
    <w:rsid w:val="00DA6BE1"/>
    <w:rsid w:val="00DB046B"/>
    <w:rsid w:val="00DB0C5E"/>
    <w:rsid w:val="00DB0F08"/>
    <w:rsid w:val="00DB12AB"/>
    <w:rsid w:val="00DB1AE5"/>
    <w:rsid w:val="00DB22B9"/>
    <w:rsid w:val="00DB2D8C"/>
    <w:rsid w:val="00DB411B"/>
    <w:rsid w:val="00DB42BD"/>
    <w:rsid w:val="00DB4F21"/>
    <w:rsid w:val="00DB5779"/>
    <w:rsid w:val="00DB59EA"/>
    <w:rsid w:val="00DB68A5"/>
    <w:rsid w:val="00DC0198"/>
    <w:rsid w:val="00DC3137"/>
    <w:rsid w:val="00DC3851"/>
    <w:rsid w:val="00DC38D1"/>
    <w:rsid w:val="00DC3A1A"/>
    <w:rsid w:val="00DC5317"/>
    <w:rsid w:val="00DC59A5"/>
    <w:rsid w:val="00DC5EAC"/>
    <w:rsid w:val="00DD032B"/>
    <w:rsid w:val="00DD1728"/>
    <w:rsid w:val="00DD1802"/>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43F"/>
    <w:rsid w:val="00E306E9"/>
    <w:rsid w:val="00E311DB"/>
    <w:rsid w:val="00E31C21"/>
    <w:rsid w:val="00E31DAA"/>
    <w:rsid w:val="00E34015"/>
    <w:rsid w:val="00E341A4"/>
    <w:rsid w:val="00E34DC8"/>
    <w:rsid w:val="00E3504D"/>
    <w:rsid w:val="00E350C8"/>
    <w:rsid w:val="00E35A7C"/>
    <w:rsid w:val="00E3602A"/>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2A1"/>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77BC5"/>
    <w:rsid w:val="00E8062A"/>
    <w:rsid w:val="00E80BD1"/>
    <w:rsid w:val="00E811D5"/>
    <w:rsid w:val="00E8234B"/>
    <w:rsid w:val="00E8298E"/>
    <w:rsid w:val="00E834B9"/>
    <w:rsid w:val="00E838A2"/>
    <w:rsid w:val="00E84C90"/>
    <w:rsid w:val="00E854BE"/>
    <w:rsid w:val="00E85F76"/>
    <w:rsid w:val="00E865BF"/>
    <w:rsid w:val="00E8712D"/>
    <w:rsid w:val="00E871D0"/>
    <w:rsid w:val="00E876D7"/>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263B"/>
    <w:rsid w:val="00EB5C24"/>
    <w:rsid w:val="00EB5C5C"/>
    <w:rsid w:val="00EB6269"/>
    <w:rsid w:val="00EB655C"/>
    <w:rsid w:val="00EB6CE4"/>
    <w:rsid w:val="00EB70DA"/>
    <w:rsid w:val="00EC1998"/>
    <w:rsid w:val="00EC537B"/>
    <w:rsid w:val="00EC5526"/>
    <w:rsid w:val="00EC5A67"/>
    <w:rsid w:val="00EC754E"/>
    <w:rsid w:val="00ED140B"/>
    <w:rsid w:val="00ED2AB9"/>
    <w:rsid w:val="00ED2B01"/>
    <w:rsid w:val="00ED2C12"/>
    <w:rsid w:val="00ED2FAA"/>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0372"/>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6C10"/>
    <w:rsid w:val="00F17305"/>
    <w:rsid w:val="00F1790A"/>
    <w:rsid w:val="00F17975"/>
    <w:rsid w:val="00F17E9A"/>
    <w:rsid w:val="00F20A97"/>
    <w:rsid w:val="00F20E00"/>
    <w:rsid w:val="00F2214B"/>
    <w:rsid w:val="00F222C6"/>
    <w:rsid w:val="00F22516"/>
    <w:rsid w:val="00F229D1"/>
    <w:rsid w:val="00F2358F"/>
    <w:rsid w:val="00F23AFA"/>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542A"/>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472BB"/>
    <w:rsid w:val="00F50277"/>
    <w:rsid w:val="00F509A5"/>
    <w:rsid w:val="00F50C49"/>
    <w:rsid w:val="00F536AF"/>
    <w:rsid w:val="00F54675"/>
    <w:rsid w:val="00F546C9"/>
    <w:rsid w:val="00F54FD5"/>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8B"/>
    <w:rsid w:val="00F86DE9"/>
    <w:rsid w:val="00F8726C"/>
    <w:rsid w:val="00F872CF"/>
    <w:rsid w:val="00F90654"/>
    <w:rsid w:val="00F91535"/>
    <w:rsid w:val="00F916CA"/>
    <w:rsid w:val="00F91AF8"/>
    <w:rsid w:val="00F93C22"/>
    <w:rsid w:val="00F94ACA"/>
    <w:rsid w:val="00F95F6D"/>
    <w:rsid w:val="00F95FD2"/>
    <w:rsid w:val="00F963D6"/>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2AD6"/>
    <w:rsid w:val="00FC42C0"/>
    <w:rsid w:val="00FC4BED"/>
    <w:rsid w:val="00FC5439"/>
    <w:rsid w:val="00FC64DE"/>
    <w:rsid w:val="00FC6530"/>
    <w:rsid w:val="00FC7527"/>
    <w:rsid w:val="00FD15F1"/>
    <w:rsid w:val="00FD1847"/>
    <w:rsid w:val="00FD2928"/>
    <w:rsid w:val="00FD5B07"/>
    <w:rsid w:val="00FD65F9"/>
    <w:rsid w:val="00FD6BD1"/>
    <w:rsid w:val="00FE1FE6"/>
    <w:rsid w:val="00FE2BB7"/>
    <w:rsid w:val="00FE3A84"/>
    <w:rsid w:val="00FE4962"/>
    <w:rsid w:val="00FE5880"/>
    <w:rsid w:val="00FE5E9A"/>
    <w:rsid w:val="00FE5F3A"/>
    <w:rsid w:val="00FE64CD"/>
    <w:rsid w:val="00FE663C"/>
    <w:rsid w:val="00FE7B7B"/>
    <w:rsid w:val="00FF0061"/>
    <w:rsid w:val="00FF012F"/>
    <w:rsid w:val="00FF4F2B"/>
    <w:rsid w:val="00FF6301"/>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0084A"/>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
    <w:name w:val="Unresolved Mention"/>
    <w:basedOn w:val="Policepardfaut"/>
    <w:uiPriority w:val="99"/>
    <w:semiHidden/>
    <w:unhideWhenUsed/>
    <w:rsid w:val="00271A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commission/sites/beta-political/files/budget-proposals-research-innovation-may2018_en.pdf" TargetMode="External"/><Relationship Id="rId20" Type="http://schemas.openxmlformats.org/officeDocument/2006/relationships/hyperlink" Target="https://ec.europa.eu/digital-single-market/en/news/regulation-promoting-fairness-and-transparency-business-users-online-intermediation-services" TargetMode="External"/><Relationship Id="rId21" Type="http://schemas.openxmlformats.org/officeDocument/2006/relationships/hyperlink" Target="https://ec.europa.eu/digital-single-market/en/illegal-content-online-platforms" TargetMode="External"/><Relationship Id="rId22" Type="http://schemas.openxmlformats.org/officeDocument/2006/relationships/hyperlink" Target="C://Users/Thomas/Downloads/CommissionRecommendationonmeasurestoeffectivelytackleillegalcontentonline.pdf" TargetMode="External"/><Relationship Id="rId23" Type="http://schemas.openxmlformats.org/officeDocument/2006/relationships/hyperlink" Target="https://ec.europa.eu/info/consultations/public-consultation-measures-further-improve-effectiveness-fight-against-illegal-content-online_en" TargetMode="External"/><Relationship Id="rId24" Type="http://schemas.openxmlformats.org/officeDocument/2006/relationships/hyperlink" Target="https://edps.europa.eu/press-publications/press-news/blog/accept-and-continue-billions-are-clocking-digital-sweat-factories_en?utm_source=POLITICO.EU&amp;utm_campaign=68ed50ea0b-EMAIL_CAMPAIGN_2018_05_01&amp;utm_medium=email&amp;utm_term=0_10959edeb5-68ed50ea0b-190136225" TargetMode="External"/><Relationship Id="rId25" Type="http://schemas.openxmlformats.org/officeDocument/2006/relationships/hyperlink" Target="https://www.parliament.uk/business/committees/committees-a-z/lords-select/communications-committee/inquiries/parliament-2017/the-internet-to-regulate-or-not-to-regulate/?utm_source=" TargetMode="External"/><Relationship Id="rId26" Type="http://schemas.openxmlformats.org/officeDocument/2006/relationships/hyperlink" Target="http://data.parliament.uk/writtenevidence/committeeevidence.svc/evidencedocument/communications-committee/the-internet-to-regulate-or-not-to-regulate/oral/82352.html" TargetMode="Externa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s://ec.europa.eu/commission/sites/beta-political/files/budget-proposals-digital-transformation-may2018_en.pdf" TargetMode="External"/><Relationship Id="rId11" Type="http://schemas.openxmlformats.org/officeDocument/2006/relationships/hyperlink" Target="https://www.ft.com/content/aaec41e6-b3f3-11e7-8007-554f9eaa90ba" TargetMode="External"/><Relationship Id="rId12" Type="http://schemas.openxmlformats.org/officeDocument/2006/relationships/hyperlink" Target="http://www.the-guild.eu/news/2018/mff-proposal.html" TargetMode="External"/><Relationship Id="rId13" Type="http://schemas.openxmlformats.org/officeDocument/2006/relationships/hyperlink" Target="http://europa.eu/rapid/press-release_MEMO-18-3621_en.htm" TargetMode="External"/><Relationship Id="rId14" Type="http://schemas.openxmlformats.org/officeDocument/2006/relationships/hyperlink" Target="http://www.europarl.europa.eu/RegData/questions/reponses_qe/2017/007906/P8_RE(2017)007906_EN.pdf" TargetMode="External"/><Relationship Id="rId15" Type="http://schemas.openxmlformats.org/officeDocument/2006/relationships/hyperlink" Target="https://eur-lex.europa.eu/legal-content/EN/TXT/?uri=CELEX%3A32015R2120" TargetMode="External"/><Relationship Id="rId16" Type="http://schemas.openxmlformats.org/officeDocument/2006/relationships/hyperlink" Target="https://ec.europa.eu/commission/commissioners/2014-2019/ansip/blog/trust-and-electronic-identity-staying-secure-digital-world_en" TargetMode="External"/><Relationship Id="rId17" Type="http://schemas.openxmlformats.org/officeDocument/2006/relationships/hyperlink" Target="http://eur-lex.europa.eu/legal-content/EN/TXT/PDF/?uri=CELEX:32014R0910&amp;from=EN" TargetMode="External"/><Relationship Id="rId18" Type="http://schemas.openxmlformats.org/officeDocument/2006/relationships/hyperlink" Target="https://www.euractiv.com/section/data-protection/opinion/a-european-vision-for-human-centred-digital-platform-ecosystems/?utm_source=POLITICO.EU&amp;utm_campaign=68ed50ea0b-EMAIL_CAMPAIGN_2018_05_01&amp;utm_medium=email&amp;utm_term=0_10959edeb5-68ed50ea0b-190136225" TargetMode="External"/><Relationship Id="rId19" Type="http://schemas.openxmlformats.org/officeDocument/2006/relationships/hyperlink" Target="https://www.lesechos.fr/idees-debats/cercle/0301606181387-pour-une-regulation-europeenne-des-plates-formes-numeriques-2171836.php"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commission/commissioners/2014-2019/ansip/blog/financial-commitment-secure-europes-digital-future-next-decade_en?utm_source=POLITICO.EU&amp;utm_campaign=118788975e-EMAIL_CAMPAIGN_2018_05_02&amp;utm_medium=email&amp;utm_term=0_10959edeb5-118788975e-19013622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C3B1E-0CFD-754D-90DE-605EE7BC7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1695</Words>
  <Characters>9582</Characters>
  <Application>Microsoft Macintosh Word</Application>
  <DocSecurity>0</DocSecurity>
  <Lines>177</Lines>
  <Paragraphs>60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11217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2018-03-30T08:04:00Z</cp:lastPrinted>
  <dcterms:created xsi:type="dcterms:W3CDTF">2018-05-07T09:48:00Z</dcterms:created>
  <dcterms:modified xsi:type="dcterms:W3CDTF">2018-05-07T09:55:00Z</dcterms:modified>
  <cp:category/>
</cp:coreProperties>
</file>