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97BB1" w14:textId="77777777" w:rsidR="00361712" w:rsidRPr="004A17C9" w:rsidRDefault="00E110B9" w:rsidP="005F306F">
      <w:pPr>
        <w:spacing w:after="200" w:line="280" w:lineRule="exact"/>
        <w:jc w:val="both"/>
        <w:rPr>
          <w:rFonts w:ascii="Hind Light" w:eastAsia="Hind Light" w:hAnsi="Hind Light" w:cs="Hind Light"/>
          <w:color w:val="3A82E4"/>
          <w:lang w:val="fr-FR"/>
        </w:rPr>
      </w:pPr>
      <w:bookmarkStart w:id="0" w:name="_Hlk478029639"/>
      <w:r w:rsidRPr="004A17C9">
        <w:rPr>
          <w:rFonts w:ascii="Hind Light" w:eastAsia="Hind Light" w:hAnsi="Hind Light" w:cs="Hind Light"/>
          <w:color w:val="3A82E4"/>
          <w:lang w:val="fr-FR"/>
        </w:rPr>
        <w:t>Internet</w:t>
      </w:r>
      <w:r w:rsidR="0094598F" w:rsidRPr="004A17C9">
        <w:rPr>
          <w:rFonts w:ascii="Hind Light" w:eastAsia="Hind Light" w:hAnsi="Hind Light" w:cs="Hind Light"/>
          <w:color w:val="3A82E4"/>
          <w:lang w:val="fr-FR"/>
        </w:rPr>
        <w:t xml:space="preserve"> Access</w:t>
      </w:r>
    </w:p>
    <w:p w14:paraId="407B0C4B" w14:textId="77777777" w:rsidR="00F24D5B" w:rsidRPr="004A17C9" w:rsidRDefault="008D5847" w:rsidP="00F24D5B">
      <w:pPr>
        <w:spacing w:line="280" w:lineRule="exact"/>
        <w:jc w:val="both"/>
        <w:rPr>
          <w:rFonts w:ascii="Hind Light" w:eastAsia="Hind Light" w:hAnsi="Hind Light" w:cs="Hind Light"/>
          <w:sz w:val="20"/>
          <w:szCs w:val="20"/>
          <w:lang w:val="fr-FR"/>
        </w:rPr>
      </w:pPr>
      <w:r w:rsidRPr="004A17C9">
        <w:rPr>
          <w:rFonts w:ascii="Hind Light" w:eastAsia="Hind Light" w:hAnsi="Hind Light" w:cs="Hind Light"/>
          <w:b/>
          <w:sz w:val="20"/>
          <w:szCs w:val="20"/>
          <w:lang w:val="fr-FR"/>
        </w:rPr>
        <w:t>EU</w:t>
      </w:r>
      <w:r w:rsidR="00F24D5B" w:rsidRPr="004A17C9">
        <w:rPr>
          <w:rFonts w:ascii="Hind Light" w:eastAsia="Hind Light" w:hAnsi="Hind Light" w:cs="Hind Light"/>
          <w:b/>
          <w:sz w:val="20"/>
          <w:szCs w:val="20"/>
          <w:lang w:val="fr-FR"/>
        </w:rPr>
        <w:t xml:space="preserve">: </w:t>
      </w:r>
      <w:r w:rsidRPr="004A17C9">
        <w:rPr>
          <w:rFonts w:ascii="Hind Light" w:eastAsia="Hind Light" w:hAnsi="Hind Light" w:cs="Hind Light"/>
          <w:b/>
          <w:sz w:val="20"/>
          <w:szCs w:val="20"/>
          <w:lang w:val="fr-FR"/>
        </w:rPr>
        <w:t>First EU-Mexico dialogue on Digital Economy</w:t>
      </w:r>
    </w:p>
    <w:p w14:paraId="4B936EAA" w14:textId="77777777" w:rsidR="00457ED3" w:rsidRPr="004A17C9" w:rsidRDefault="008D5847" w:rsidP="008D5847">
      <w:pPr>
        <w:pStyle w:val="Pardeliste"/>
        <w:numPr>
          <w:ilvl w:val="0"/>
          <w:numId w:val="42"/>
        </w:numPr>
        <w:spacing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On May 19, the EU and Mexico held their </w:t>
      </w:r>
      <w:hyperlink r:id="rId8" w:history="1">
        <w:r w:rsidRPr="004A17C9">
          <w:rPr>
            <w:rStyle w:val="Lienhypertexte"/>
            <w:rFonts w:ascii="Hind Light" w:eastAsia="Hind Light" w:hAnsi="Hind Light" w:cs="Hind Light"/>
            <w:sz w:val="20"/>
            <w:szCs w:val="20"/>
          </w:rPr>
          <w:t xml:space="preserve">first </w:t>
        </w:r>
        <w:r w:rsidR="00CD7F43" w:rsidRPr="004A17C9">
          <w:rPr>
            <w:rStyle w:val="Lienhypertexte"/>
            <w:rFonts w:ascii="Hind Light" w:eastAsia="Hind Light" w:hAnsi="Hind Light" w:cs="Hind Light"/>
            <w:sz w:val="20"/>
            <w:szCs w:val="20"/>
          </w:rPr>
          <w:t>dialogue</w:t>
        </w:r>
      </w:hyperlink>
      <w:r w:rsidRPr="004A17C9">
        <w:rPr>
          <w:rFonts w:ascii="Hind Light" w:eastAsia="Hind Light" w:hAnsi="Hind Light" w:cs="Hind Light"/>
          <w:sz w:val="20"/>
          <w:szCs w:val="20"/>
        </w:rPr>
        <w:t xml:space="preserve"> on the digital economy</w:t>
      </w:r>
      <w:r w:rsidR="00F24D5B" w:rsidRPr="004A17C9">
        <w:rPr>
          <w:rFonts w:ascii="Hind Light" w:eastAsia="Hind Light" w:hAnsi="Hind Light" w:cs="Hind Light"/>
          <w:sz w:val="20"/>
          <w:szCs w:val="20"/>
        </w:rPr>
        <w:t>.</w:t>
      </w:r>
      <w:r w:rsidRPr="004A17C9">
        <w:rPr>
          <w:rFonts w:ascii="Hind Light" w:eastAsia="Hind Light" w:hAnsi="Hind Light" w:cs="Hind Light"/>
          <w:sz w:val="20"/>
          <w:szCs w:val="20"/>
        </w:rPr>
        <w:t xml:space="preserve"> Roberto Viola (Director General DG </w:t>
      </w:r>
      <w:r w:rsidR="00CD7F43" w:rsidRPr="004A17C9">
        <w:rPr>
          <w:rFonts w:ascii="Hind Light" w:eastAsia="Hind Light" w:hAnsi="Hind Light" w:cs="Hind Light"/>
          <w:sz w:val="20"/>
          <w:szCs w:val="20"/>
        </w:rPr>
        <w:t xml:space="preserve">Connect) and </w:t>
      </w:r>
      <w:r w:rsidRPr="004A17C9">
        <w:rPr>
          <w:rFonts w:ascii="Hind Light" w:eastAsia="Hind Light" w:hAnsi="Hind Light" w:cs="Hind Light"/>
          <w:sz w:val="20"/>
          <w:szCs w:val="20"/>
        </w:rPr>
        <w:t xml:space="preserve">Edgar Olvera Jiménez, </w:t>
      </w:r>
      <w:r w:rsidR="00CD7F43" w:rsidRPr="004A17C9">
        <w:rPr>
          <w:rFonts w:ascii="Hind Light" w:eastAsia="Hind Light" w:hAnsi="Hind Light" w:cs="Hind Light"/>
          <w:sz w:val="20"/>
          <w:szCs w:val="20"/>
        </w:rPr>
        <w:t>(</w:t>
      </w:r>
      <w:r w:rsidRPr="004A17C9">
        <w:rPr>
          <w:rFonts w:ascii="Hind Light" w:eastAsia="Hind Light" w:hAnsi="Hind Light" w:cs="Hind Light"/>
          <w:sz w:val="20"/>
          <w:szCs w:val="20"/>
        </w:rPr>
        <w:t>Undersecretary of Communications of the Ministry of Communications and Transport, Mexico</w:t>
      </w:r>
      <w:r w:rsidR="00CD7F43" w:rsidRPr="004A17C9">
        <w:rPr>
          <w:rFonts w:ascii="Hind Light" w:eastAsia="Hind Light" w:hAnsi="Hind Light" w:cs="Hind Light"/>
          <w:sz w:val="20"/>
          <w:szCs w:val="20"/>
        </w:rPr>
        <w:t>)</w:t>
      </w:r>
      <w:r w:rsidR="00457ED3" w:rsidRPr="004A17C9">
        <w:rPr>
          <w:rFonts w:ascii="Hind Light" w:eastAsia="Hind Light" w:hAnsi="Hind Light" w:cs="Hind Light"/>
          <w:sz w:val="20"/>
          <w:szCs w:val="20"/>
        </w:rPr>
        <w:t>, co-chaired the meeting.</w:t>
      </w:r>
    </w:p>
    <w:p w14:paraId="72094C4B" w14:textId="0331F97C" w:rsidR="00F24D5B" w:rsidRPr="004A17C9" w:rsidRDefault="00457ED3" w:rsidP="00457ED3">
      <w:pPr>
        <w:pStyle w:val="Pardeliste"/>
        <w:numPr>
          <w:ilvl w:val="0"/>
          <w:numId w:val="42"/>
        </w:numPr>
        <w:spacing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They concluded that EU and Mexico have a similar approach on the way they respond to the legislative challenges of a new era of Internet and Telecommunications. They agreed they would continue to engage in international fora to keep the Internet open, u</w:t>
      </w:r>
      <w:r w:rsidR="00C32C0D">
        <w:rPr>
          <w:rFonts w:ascii="Hind Light" w:eastAsia="Hind Light" w:hAnsi="Hind Light" w:cs="Hind Light"/>
          <w:sz w:val="20"/>
          <w:szCs w:val="20"/>
        </w:rPr>
        <w:t xml:space="preserve">nique and secure for all; that </w:t>
      </w:r>
      <w:bookmarkStart w:id="1" w:name="_GoBack"/>
      <w:bookmarkEnd w:id="1"/>
      <w:r w:rsidRPr="004A17C9">
        <w:rPr>
          <w:rFonts w:ascii="Hind Light" w:eastAsia="Hind Light" w:hAnsi="Hind Light" w:cs="Hind Light"/>
          <w:sz w:val="20"/>
          <w:szCs w:val="20"/>
        </w:rPr>
        <w:t>Mexico will work with the EU on </w:t>
      </w:r>
      <w:r w:rsidR="00CD7F43" w:rsidRPr="004A17C9">
        <w:rPr>
          <w:rFonts w:ascii="Hind Light" w:eastAsia="Hind Light" w:hAnsi="Hind Light" w:cs="Hind Light"/>
          <w:sz w:val="20"/>
          <w:szCs w:val="20"/>
        </w:rPr>
        <w:t>High Performance Computing</w:t>
      </w:r>
      <w:r w:rsidRPr="004A17C9">
        <w:rPr>
          <w:rFonts w:ascii="Hind Light" w:eastAsia="Hind Light" w:hAnsi="Hind Light" w:cs="Hind Light"/>
          <w:sz w:val="20"/>
          <w:szCs w:val="20"/>
        </w:rPr>
        <w:t> (HPC); and that they will share best practices on several crucial area of the Digital Single Market, including ICT standards, cybersecurity and data protection.</w:t>
      </w:r>
    </w:p>
    <w:p w14:paraId="69C0BF99" w14:textId="77777777" w:rsidR="00457ED3" w:rsidRPr="004A17C9" w:rsidRDefault="00457ED3" w:rsidP="00457ED3">
      <w:pPr>
        <w:pStyle w:val="Pardeliste"/>
        <w:spacing w:line="280" w:lineRule="exact"/>
        <w:ind w:left="643"/>
        <w:jc w:val="both"/>
        <w:rPr>
          <w:rFonts w:ascii="Hind Light" w:eastAsia="Hind Light" w:hAnsi="Hind Light" w:cs="Hind Light"/>
          <w:b/>
          <w:sz w:val="20"/>
          <w:szCs w:val="20"/>
        </w:rPr>
      </w:pPr>
    </w:p>
    <w:p w14:paraId="22832F38" w14:textId="77777777" w:rsidR="00F10892" w:rsidRPr="004A17C9" w:rsidRDefault="00F10892" w:rsidP="00314222">
      <w:pPr>
        <w:spacing w:line="280" w:lineRule="exact"/>
        <w:jc w:val="both"/>
        <w:rPr>
          <w:rFonts w:ascii="Hind Light" w:eastAsia="Hind Light" w:hAnsi="Hind Light" w:cs="Hind Light"/>
          <w:sz w:val="20"/>
          <w:szCs w:val="20"/>
        </w:rPr>
      </w:pPr>
      <w:r w:rsidRPr="004A17C9">
        <w:rPr>
          <w:rFonts w:ascii="Hind Light" w:eastAsia="Hind Light" w:hAnsi="Hind Light" w:cs="Hind Light"/>
          <w:b/>
          <w:sz w:val="20"/>
          <w:szCs w:val="20"/>
        </w:rPr>
        <w:t xml:space="preserve">EU: </w:t>
      </w:r>
      <w:r w:rsidR="00D565E1" w:rsidRPr="004A17C9">
        <w:rPr>
          <w:rFonts w:ascii="Hind Light" w:eastAsia="Hind Light" w:hAnsi="Hind Light" w:cs="Hind Light"/>
          <w:b/>
          <w:sz w:val="20"/>
          <w:szCs w:val="20"/>
        </w:rPr>
        <w:t xml:space="preserve">Operators urge EU </w:t>
      </w:r>
      <w:r w:rsidR="00DA0B45" w:rsidRPr="004A17C9">
        <w:rPr>
          <w:rFonts w:ascii="Hind Light" w:eastAsia="Hind Light" w:hAnsi="Hind Light" w:cs="Hind Light"/>
          <w:b/>
          <w:sz w:val="20"/>
          <w:szCs w:val="20"/>
        </w:rPr>
        <w:t xml:space="preserve">ministers </w:t>
      </w:r>
      <w:r w:rsidR="00CD7F43" w:rsidRPr="004A17C9">
        <w:rPr>
          <w:rFonts w:ascii="Hind Light" w:eastAsia="Hind Light" w:hAnsi="Hind Light" w:cs="Hind Light"/>
          <w:b/>
          <w:sz w:val="20"/>
          <w:szCs w:val="20"/>
        </w:rPr>
        <w:t xml:space="preserve">to provide </w:t>
      </w:r>
      <w:r w:rsidR="00DA0B45" w:rsidRPr="004A17C9">
        <w:rPr>
          <w:rFonts w:ascii="Hind Light" w:eastAsia="Hind Light" w:hAnsi="Hind Light" w:cs="Hind Light"/>
          <w:b/>
          <w:sz w:val="20"/>
          <w:szCs w:val="20"/>
        </w:rPr>
        <w:t>favourable investment conditions</w:t>
      </w:r>
    </w:p>
    <w:p w14:paraId="1DB73AA2" w14:textId="77777777" w:rsidR="00F818FA" w:rsidRPr="004A17C9" w:rsidRDefault="00CD7F43" w:rsidP="00F818FA">
      <w:pPr>
        <w:pStyle w:val="Pardeliste"/>
        <w:numPr>
          <w:ilvl w:val="0"/>
          <w:numId w:val="42"/>
        </w:numPr>
        <w:spacing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CEOs of s</w:t>
      </w:r>
      <w:r w:rsidR="00DA0B45" w:rsidRPr="004A17C9">
        <w:rPr>
          <w:rFonts w:ascii="Hind Light" w:eastAsia="Hind Light" w:hAnsi="Hind Light" w:cs="Hind Light"/>
          <w:sz w:val="20"/>
          <w:szCs w:val="20"/>
        </w:rPr>
        <w:t xml:space="preserve">ome of Europe’s largest telecoms companies </w:t>
      </w:r>
      <w:r w:rsidR="00D565E1" w:rsidRPr="004A17C9">
        <w:rPr>
          <w:rFonts w:ascii="Hind Light" w:eastAsia="Hind Light" w:hAnsi="Hind Light" w:cs="Hind Light"/>
          <w:sz w:val="20"/>
          <w:szCs w:val="20"/>
        </w:rPr>
        <w:t xml:space="preserve">have </w:t>
      </w:r>
      <w:r w:rsidRPr="004A17C9">
        <w:rPr>
          <w:rFonts w:ascii="Hind Light" w:eastAsia="Hind Light" w:hAnsi="Hind Light" w:cs="Hind Light"/>
          <w:sz w:val="20"/>
          <w:szCs w:val="20"/>
        </w:rPr>
        <w:t>addressed</w:t>
      </w:r>
      <w:r w:rsidR="00D565E1" w:rsidRPr="004A17C9">
        <w:rPr>
          <w:rFonts w:ascii="Hind Light" w:eastAsia="Hind Light" w:hAnsi="Hind Light" w:cs="Hind Light"/>
          <w:sz w:val="20"/>
          <w:szCs w:val="20"/>
        </w:rPr>
        <w:t xml:space="preserve"> a </w:t>
      </w:r>
      <w:hyperlink r:id="rId9" w:history="1">
        <w:r w:rsidR="00D565E1" w:rsidRPr="004A17C9">
          <w:rPr>
            <w:rStyle w:val="Lienhypertexte"/>
            <w:rFonts w:ascii="Hind Light" w:eastAsia="Hind Light" w:hAnsi="Hind Light" w:cs="Hind Light"/>
            <w:sz w:val="20"/>
            <w:szCs w:val="20"/>
          </w:rPr>
          <w:t>letter</w:t>
        </w:r>
      </w:hyperlink>
      <w:r w:rsidR="00AD0102" w:rsidRPr="004A17C9">
        <w:rPr>
          <w:rFonts w:ascii="Hind Light" w:eastAsia="Hind Light" w:hAnsi="Hind Light" w:cs="Hind Light"/>
          <w:sz w:val="20"/>
          <w:szCs w:val="20"/>
        </w:rPr>
        <w:t xml:space="preserve"> </w:t>
      </w:r>
      <w:r w:rsidR="00D565E1" w:rsidRPr="004A17C9">
        <w:rPr>
          <w:rFonts w:ascii="Hind Light" w:eastAsia="Hind Light" w:hAnsi="Hind Light" w:cs="Hind Light"/>
          <w:sz w:val="20"/>
          <w:szCs w:val="20"/>
        </w:rPr>
        <w:t xml:space="preserve">to </w:t>
      </w:r>
      <w:r w:rsidR="00AD0102" w:rsidRPr="004A17C9">
        <w:rPr>
          <w:rFonts w:ascii="Hind Light" w:eastAsia="Hind Light" w:hAnsi="Hind Light" w:cs="Hind Light"/>
          <w:sz w:val="20"/>
          <w:szCs w:val="20"/>
        </w:rPr>
        <w:t>E</w:t>
      </w:r>
      <w:r w:rsidRPr="004A17C9">
        <w:rPr>
          <w:rFonts w:ascii="Hind Light" w:eastAsia="Hind Light" w:hAnsi="Hind Light" w:cs="Hind Light"/>
          <w:sz w:val="20"/>
          <w:szCs w:val="20"/>
        </w:rPr>
        <w:t>U</w:t>
      </w:r>
      <w:r w:rsidR="00AD0102" w:rsidRPr="004A17C9">
        <w:rPr>
          <w:rFonts w:ascii="Hind Light" w:eastAsia="Hind Light" w:hAnsi="Hind Light" w:cs="Hind Light"/>
          <w:sz w:val="20"/>
          <w:szCs w:val="20"/>
        </w:rPr>
        <w:t xml:space="preserve"> telecoms</w:t>
      </w:r>
      <w:r w:rsidR="00D565E1" w:rsidRPr="004A17C9">
        <w:rPr>
          <w:rFonts w:ascii="Hind Light" w:eastAsia="Hind Light" w:hAnsi="Hind Light" w:cs="Hind Light"/>
          <w:sz w:val="20"/>
          <w:szCs w:val="20"/>
        </w:rPr>
        <w:t xml:space="preserve"> ministers</w:t>
      </w:r>
      <w:r w:rsidR="00AD0102" w:rsidRPr="004A17C9">
        <w:rPr>
          <w:rFonts w:ascii="Hind Light" w:eastAsia="Hind Light" w:hAnsi="Hind Light" w:cs="Hind Light"/>
          <w:sz w:val="20"/>
          <w:szCs w:val="20"/>
        </w:rPr>
        <w:t xml:space="preserve">, ahead of the </w:t>
      </w:r>
      <w:r w:rsidRPr="004A17C9">
        <w:rPr>
          <w:rFonts w:ascii="Hind Light" w:eastAsia="Hind Light" w:hAnsi="Hind Light" w:cs="Hind Light"/>
          <w:sz w:val="20"/>
          <w:szCs w:val="20"/>
        </w:rPr>
        <w:t xml:space="preserve">Telecoms </w:t>
      </w:r>
      <w:r w:rsidR="00AD0102" w:rsidRPr="004A17C9">
        <w:rPr>
          <w:rFonts w:ascii="Hind Light" w:eastAsia="Hind Light" w:hAnsi="Hind Light" w:cs="Hind Light"/>
          <w:sz w:val="20"/>
          <w:szCs w:val="20"/>
        </w:rPr>
        <w:t>Council meeting</w:t>
      </w:r>
      <w:r w:rsidRPr="004A17C9">
        <w:rPr>
          <w:rFonts w:ascii="Hind Light" w:eastAsia="Hind Light" w:hAnsi="Hind Light" w:cs="Hind Light"/>
          <w:sz w:val="20"/>
          <w:szCs w:val="20"/>
        </w:rPr>
        <w:t xml:space="preserve"> on 8-9 June</w:t>
      </w:r>
      <w:r w:rsidR="00F16084" w:rsidRPr="004A17C9">
        <w:rPr>
          <w:rFonts w:ascii="Hind Light" w:eastAsia="Hind Light" w:hAnsi="Hind Light" w:cs="Hind Light"/>
          <w:sz w:val="20"/>
          <w:szCs w:val="20"/>
        </w:rPr>
        <w:t xml:space="preserve">, </w:t>
      </w:r>
      <w:r w:rsidRPr="004A17C9">
        <w:rPr>
          <w:rFonts w:ascii="Hind Light" w:eastAsia="Hind Light" w:hAnsi="Hind Light" w:cs="Hind Light"/>
          <w:sz w:val="20"/>
          <w:szCs w:val="20"/>
        </w:rPr>
        <w:t xml:space="preserve">warning </w:t>
      </w:r>
      <w:r w:rsidR="00B32D7E" w:rsidRPr="004A17C9">
        <w:rPr>
          <w:rFonts w:ascii="Hind Light" w:eastAsia="Hind Light" w:hAnsi="Hind Light" w:cs="Hind Light"/>
          <w:sz w:val="20"/>
          <w:szCs w:val="20"/>
        </w:rPr>
        <w:t>that p</w:t>
      </w:r>
      <w:r w:rsidR="00F16084" w:rsidRPr="004A17C9">
        <w:rPr>
          <w:rFonts w:ascii="Hind Light" w:eastAsia="Hind Light" w:hAnsi="Hind Light" w:cs="Hind Light"/>
          <w:sz w:val="20"/>
          <w:szCs w:val="20"/>
        </w:rPr>
        <w:t>roposed changes to the Electronic Communications Code and ePrivacy Regulation could put 5G investments at risk.</w:t>
      </w:r>
    </w:p>
    <w:p w14:paraId="195110AD" w14:textId="77777777" w:rsidR="00CD7F43" w:rsidRPr="004A17C9" w:rsidRDefault="00AD0102" w:rsidP="00F818FA">
      <w:pPr>
        <w:pStyle w:val="Pardeliste"/>
        <w:numPr>
          <w:ilvl w:val="0"/>
          <w:numId w:val="42"/>
        </w:numPr>
        <w:spacing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The industry</w:t>
      </w:r>
      <w:r w:rsidR="00F818FA" w:rsidRPr="004A17C9">
        <w:rPr>
          <w:rFonts w:ascii="Hind Light" w:eastAsia="Hind Light" w:hAnsi="Hind Light" w:cs="Hind Light"/>
          <w:sz w:val="20"/>
          <w:szCs w:val="20"/>
        </w:rPr>
        <w:t xml:space="preserve"> estimates that the European Commission’s plan would cost €660bn and that “unexpected price regulation would be incompatible with the ambitious plans for a digital single market”.</w:t>
      </w:r>
      <w:r w:rsidR="009B0870" w:rsidRPr="004A17C9">
        <w:rPr>
          <w:rFonts w:ascii="Hind Light" w:eastAsia="Hind Light" w:hAnsi="Hind Light" w:cs="Hind Light"/>
          <w:sz w:val="20"/>
          <w:szCs w:val="20"/>
        </w:rPr>
        <w:t xml:space="preserve"> T</w:t>
      </w:r>
      <w:r w:rsidR="00F818FA" w:rsidRPr="004A17C9">
        <w:rPr>
          <w:rFonts w:ascii="Hind Light" w:eastAsia="Hind Light" w:hAnsi="Hind Light" w:cs="Hind Light"/>
          <w:sz w:val="20"/>
          <w:szCs w:val="20"/>
        </w:rPr>
        <w:t>he sector</w:t>
      </w:r>
      <w:r w:rsidR="009B0870" w:rsidRPr="004A17C9">
        <w:rPr>
          <w:rFonts w:ascii="Hind Light" w:eastAsia="Hind Light" w:hAnsi="Hind Light" w:cs="Hind Light"/>
          <w:sz w:val="20"/>
          <w:szCs w:val="20"/>
        </w:rPr>
        <w:t xml:space="preserve"> </w:t>
      </w:r>
      <w:r w:rsidRPr="004A17C9">
        <w:rPr>
          <w:rFonts w:ascii="Hind Light" w:eastAsia="Hind Light" w:hAnsi="Hind Light" w:cs="Hind Light"/>
          <w:sz w:val="20"/>
          <w:szCs w:val="20"/>
        </w:rPr>
        <w:t>called on European ministers to “save the 5G project” by sticking to plans to harmonise the regulation of spectrum</w:t>
      </w:r>
      <w:r w:rsidR="00CD7F43" w:rsidRPr="004A17C9">
        <w:rPr>
          <w:rFonts w:ascii="Hind Light" w:eastAsia="Hind Light" w:hAnsi="Hind Light" w:cs="Hind Light"/>
          <w:sz w:val="20"/>
          <w:szCs w:val="20"/>
        </w:rPr>
        <w:t>. These plans</w:t>
      </w:r>
      <w:r w:rsidRPr="004A17C9">
        <w:rPr>
          <w:rFonts w:ascii="Hind Light" w:eastAsia="Hind Light" w:hAnsi="Hind Light" w:cs="Hind Light"/>
          <w:sz w:val="20"/>
          <w:szCs w:val="20"/>
        </w:rPr>
        <w:t xml:space="preserve"> have met resistance from </w:t>
      </w:r>
      <w:r w:rsidR="00F818FA" w:rsidRPr="004A17C9">
        <w:rPr>
          <w:rFonts w:ascii="Hind Light" w:eastAsia="Hind Light" w:hAnsi="Hind Light" w:cs="Hind Light"/>
          <w:sz w:val="20"/>
          <w:szCs w:val="20"/>
        </w:rPr>
        <w:t>some European telecoms ministers (notably,</w:t>
      </w:r>
      <w:r w:rsidRPr="004A17C9">
        <w:rPr>
          <w:rFonts w:ascii="Hind Light" w:eastAsia="Hind Light" w:hAnsi="Hind Light" w:cs="Hind Light"/>
          <w:sz w:val="20"/>
          <w:szCs w:val="20"/>
        </w:rPr>
        <w:t xml:space="preserve"> Germany, Spain and UK</w:t>
      </w:r>
      <w:r w:rsidR="00F818FA" w:rsidRPr="004A17C9">
        <w:rPr>
          <w:rFonts w:ascii="Hind Light" w:eastAsia="Hind Light" w:hAnsi="Hind Light" w:cs="Hind Light"/>
          <w:sz w:val="20"/>
          <w:szCs w:val="20"/>
        </w:rPr>
        <w:t>).</w:t>
      </w:r>
      <w:r w:rsidR="00F16084" w:rsidRPr="004A17C9">
        <w:rPr>
          <w:rFonts w:ascii="Hind Light" w:eastAsia="Hind Light" w:hAnsi="Hind Light" w:cs="Hind Light"/>
          <w:sz w:val="20"/>
          <w:szCs w:val="20"/>
        </w:rPr>
        <w:t xml:space="preserve"> </w:t>
      </w:r>
    </w:p>
    <w:p w14:paraId="55F97CB0" w14:textId="77777777" w:rsidR="00C24734" w:rsidRPr="004A17C9" w:rsidRDefault="00B32D7E" w:rsidP="00F818FA">
      <w:pPr>
        <w:pStyle w:val="Pardeliste"/>
        <w:numPr>
          <w:ilvl w:val="0"/>
          <w:numId w:val="42"/>
        </w:numPr>
        <w:spacing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The letter was signed by </w:t>
      </w:r>
      <w:r w:rsidR="00CD7F43" w:rsidRPr="004A17C9">
        <w:rPr>
          <w:rFonts w:ascii="Hind Light" w:eastAsia="Hind Light" w:hAnsi="Hind Light" w:cs="Hind Light"/>
          <w:sz w:val="20"/>
          <w:szCs w:val="20"/>
        </w:rPr>
        <w:t xml:space="preserve">the CEOs of </w:t>
      </w:r>
      <w:r w:rsidR="00F16084" w:rsidRPr="004A17C9">
        <w:rPr>
          <w:rFonts w:ascii="Hind Light" w:eastAsia="Hind Light" w:hAnsi="Hind Light" w:cs="Hind Light"/>
          <w:sz w:val="20"/>
          <w:szCs w:val="20"/>
        </w:rPr>
        <w:t>Deutsche Telekom, Orange, BT, Telecom Italia and Telefónica</w:t>
      </w:r>
      <w:r w:rsidR="00CD7F43" w:rsidRPr="004A17C9">
        <w:rPr>
          <w:rFonts w:ascii="Hind Light" w:eastAsia="Hind Light" w:hAnsi="Hind Light" w:cs="Hind Light"/>
          <w:sz w:val="20"/>
          <w:szCs w:val="20"/>
        </w:rPr>
        <w:t>, KPN, Telenor Group, Telia Company, Go Malta, Türk Telekom, Bulgarian Telecommunications Company, Proximus, and Telekom Austria.</w:t>
      </w:r>
    </w:p>
    <w:p w14:paraId="5F313C7C" w14:textId="77777777" w:rsidR="009B45A4" w:rsidRPr="004A17C9" w:rsidRDefault="009B45A4" w:rsidP="009B45A4">
      <w:pPr>
        <w:pStyle w:val="Pardeliste"/>
        <w:spacing w:line="280" w:lineRule="exact"/>
        <w:jc w:val="both"/>
        <w:rPr>
          <w:rFonts w:ascii="Hind Light" w:eastAsia="Hind Light" w:hAnsi="Hind Light" w:cs="Hind Light"/>
          <w:sz w:val="20"/>
          <w:szCs w:val="20"/>
        </w:rPr>
      </w:pPr>
    </w:p>
    <w:p w14:paraId="7EEA44FF" w14:textId="77777777" w:rsidR="0032458F" w:rsidRPr="004A17C9" w:rsidRDefault="0032458F" w:rsidP="0032458F">
      <w:pPr>
        <w:spacing w:line="280" w:lineRule="exact"/>
        <w:jc w:val="both"/>
        <w:rPr>
          <w:rFonts w:ascii="Hind Light" w:eastAsia="Hind Light" w:hAnsi="Hind Light" w:cs="Hind Light"/>
          <w:sz w:val="20"/>
          <w:szCs w:val="20"/>
        </w:rPr>
      </w:pPr>
      <w:r w:rsidRPr="004A17C9">
        <w:rPr>
          <w:rFonts w:ascii="Hind Light" w:eastAsia="Hind Light" w:hAnsi="Hind Light" w:cs="Hind Light"/>
          <w:b/>
          <w:sz w:val="20"/>
          <w:szCs w:val="20"/>
        </w:rPr>
        <w:t xml:space="preserve">EU: </w:t>
      </w:r>
      <w:r w:rsidR="0098049A" w:rsidRPr="004A17C9">
        <w:rPr>
          <w:rFonts w:ascii="Hind Light" w:eastAsia="Hind Light" w:hAnsi="Hind Light" w:cs="Hind Light"/>
          <w:b/>
          <w:sz w:val="20"/>
          <w:szCs w:val="20"/>
        </w:rPr>
        <w:t>BEREC to launch three public consultations in summer 2017</w:t>
      </w:r>
    </w:p>
    <w:p w14:paraId="7C65F6AD" w14:textId="77777777" w:rsidR="0032458F" w:rsidRPr="004A17C9" w:rsidRDefault="0098049A" w:rsidP="0098049A">
      <w:pPr>
        <w:pStyle w:val="Pardeliste"/>
        <w:numPr>
          <w:ilvl w:val="0"/>
          <w:numId w:val="42"/>
        </w:numPr>
        <w:spacing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On June 7 the Body of European Regulators for Electronic Communications (BEREC) will hold a </w:t>
      </w:r>
      <w:hyperlink r:id="rId10" w:history="1">
        <w:r w:rsidRPr="004A17C9">
          <w:rPr>
            <w:rStyle w:val="Lienhypertexte"/>
            <w:rFonts w:ascii="Hind Light" w:eastAsia="Hind Light" w:hAnsi="Hind Light" w:cs="Hind Light"/>
            <w:sz w:val="20"/>
            <w:szCs w:val="20"/>
          </w:rPr>
          <w:t>public debriefing</w:t>
        </w:r>
      </w:hyperlink>
      <w:r w:rsidRPr="004A17C9">
        <w:rPr>
          <w:rFonts w:ascii="Hind Light" w:eastAsia="Hind Light" w:hAnsi="Hind Light" w:cs="Hind Light"/>
          <w:sz w:val="20"/>
          <w:szCs w:val="20"/>
        </w:rPr>
        <w:t xml:space="preserve"> to present the results from its 31st plenary meeting to take place on 1 and 2 June 2017 in Lisbon. On that occasion, BEREC will launch </w:t>
      </w:r>
      <w:hyperlink r:id="rId11" w:history="1">
        <w:r w:rsidRPr="004A17C9">
          <w:rPr>
            <w:rStyle w:val="Lienhypertexte"/>
            <w:rFonts w:ascii="Hind Light" w:eastAsia="Hind Light" w:hAnsi="Hind Light" w:cs="Hind Light"/>
            <w:sz w:val="20"/>
            <w:szCs w:val="20"/>
          </w:rPr>
          <w:t>three public consultations</w:t>
        </w:r>
      </w:hyperlink>
      <w:r w:rsidRPr="004A17C9">
        <w:rPr>
          <w:rFonts w:ascii="Hind Light" w:eastAsia="Hind Light" w:hAnsi="Hind Light" w:cs="Hind Light"/>
          <w:sz w:val="20"/>
          <w:szCs w:val="20"/>
        </w:rPr>
        <w:t xml:space="preserve"> on the following documents: (i) BEREC Medium-term strategy </w:t>
      </w:r>
      <w:r w:rsidRPr="004A17C9">
        <w:rPr>
          <w:rFonts w:ascii="Hind Light" w:eastAsia="Hind Light" w:hAnsi="Hind Light" w:cs="Hind Light"/>
          <w:sz w:val="20"/>
          <w:szCs w:val="20"/>
        </w:rPr>
        <w:lastRenderedPageBreak/>
        <w:t xml:space="preserve">2018-2020; (ii) </w:t>
      </w:r>
      <w:r w:rsidR="00E110B9" w:rsidRPr="004A17C9">
        <w:rPr>
          <w:rFonts w:ascii="Hind Light" w:eastAsia="Hind Light" w:hAnsi="Hind Light" w:cs="Hind Light"/>
          <w:sz w:val="20"/>
          <w:szCs w:val="20"/>
        </w:rPr>
        <w:t>Internet</w:t>
      </w:r>
      <w:r w:rsidRPr="004A17C9">
        <w:rPr>
          <w:rFonts w:ascii="Hind Light" w:eastAsia="Hind Light" w:hAnsi="Hind Light" w:cs="Hind Light"/>
          <w:sz w:val="20"/>
          <w:szCs w:val="20"/>
        </w:rPr>
        <w:t xml:space="preserve"> protocol interconnection practices in the context of Net Neutrality; and (iii) BEREC regulatory methodology for quality of service assessment for the implementation of Net Neutrality provisions.</w:t>
      </w:r>
    </w:p>
    <w:p w14:paraId="6EB5376B" w14:textId="77777777" w:rsidR="0098049A" w:rsidRPr="004A17C9" w:rsidRDefault="0098049A" w:rsidP="0098049A">
      <w:pPr>
        <w:pStyle w:val="Pardeliste"/>
        <w:numPr>
          <w:ilvl w:val="0"/>
          <w:numId w:val="42"/>
        </w:numPr>
        <w:spacing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All the public consultations will run for four consecutive weeks, and will end on 5 July 2017. </w:t>
      </w:r>
      <w:r w:rsidR="00B47A74" w:rsidRPr="004A17C9">
        <w:rPr>
          <w:rFonts w:ascii="Hind Light" w:eastAsia="Hind Light" w:hAnsi="Hind Light" w:cs="Hind Light"/>
          <w:sz w:val="20"/>
          <w:szCs w:val="20"/>
        </w:rPr>
        <w:t>S</w:t>
      </w:r>
      <w:r w:rsidRPr="004A17C9">
        <w:rPr>
          <w:rFonts w:ascii="Hind Light" w:eastAsia="Hind Light" w:hAnsi="Hind Light" w:cs="Hind Light"/>
          <w:sz w:val="20"/>
          <w:szCs w:val="20"/>
        </w:rPr>
        <w:t xml:space="preserve">takeholders are invited to submit their contributions through BEREC’s new </w:t>
      </w:r>
      <w:hyperlink r:id="rId12" w:history="1">
        <w:r w:rsidRPr="004A17C9">
          <w:rPr>
            <w:rStyle w:val="Lienhypertexte"/>
            <w:rFonts w:ascii="Hind Light" w:eastAsia="Hind Light" w:hAnsi="Hind Light" w:cs="Hind Light"/>
            <w:sz w:val="20"/>
            <w:szCs w:val="20"/>
          </w:rPr>
          <w:t>consultation platform</w:t>
        </w:r>
      </w:hyperlink>
      <w:r w:rsidRPr="004A17C9">
        <w:rPr>
          <w:rFonts w:ascii="Hind Light" w:eastAsia="Hind Light" w:hAnsi="Hind Light" w:cs="Hind Light"/>
          <w:sz w:val="20"/>
          <w:szCs w:val="20"/>
        </w:rPr>
        <w:t>.</w:t>
      </w:r>
    </w:p>
    <w:p w14:paraId="391BE55B" w14:textId="77777777" w:rsidR="005F306F" w:rsidRPr="004A17C9" w:rsidRDefault="005F306F" w:rsidP="005F306F">
      <w:pPr>
        <w:pStyle w:val="Pardeliste"/>
        <w:spacing w:line="280" w:lineRule="exact"/>
        <w:ind w:left="643"/>
        <w:jc w:val="both"/>
        <w:rPr>
          <w:rFonts w:ascii="Hind Light" w:eastAsia="Hind Light" w:hAnsi="Hind Light" w:cs="Hind Light"/>
          <w:sz w:val="20"/>
          <w:szCs w:val="20"/>
        </w:rPr>
      </w:pPr>
    </w:p>
    <w:p w14:paraId="7E3A93AB" w14:textId="77777777" w:rsidR="005F306F" w:rsidRPr="004A17C9" w:rsidRDefault="005F306F" w:rsidP="005F306F">
      <w:pPr>
        <w:spacing w:line="280" w:lineRule="exact"/>
        <w:jc w:val="both"/>
        <w:rPr>
          <w:rFonts w:ascii="Hind Light" w:eastAsia="Hind Light" w:hAnsi="Hind Light" w:cs="Hind Light"/>
          <w:sz w:val="20"/>
          <w:szCs w:val="20"/>
        </w:rPr>
      </w:pPr>
      <w:r w:rsidRPr="004A17C9">
        <w:rPr>
          <w:rFonts w:ascii="Hind Light" w:eastAsia="Hind Light" w:hAnsi="Hind Light" w:cs="Hind Light"/>
          <w:b/>
          <w:sz w:val="20"/>
          <w:szCs w:val="20"/>
        </w:rPr>
        <w:t>Ireland: Irish operators to spend €78 million in spectrum auction</w:t>
      </w:r>
    </w:p>
    <w:p w14:paraId="28400F7E" w14:textId="77777777" w:rsidR="009F445E" w:rsidRPr="004A17C9" w:rsidRDefault="005F306F" w:rsidP="009F445E">
      <w:pPr>
        <w:pStyle w:val="Pardeliste"/>
        <w:numPr>
          <w:ilvl w:val="0"/>
          <w:numId w:val="42"/>
        </w:numPr>
        <w:spacing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Five mobile operators</w:t>
      </w:r>
      <w:r w:rsidR="00B47A74" w:rsidRPr="004A17C9">
        <w:rPr>
          <w:rFonts w:ascii="Hind Light" w:eastAsia="Hind Light" w:hAnsi="Hind Light" w:cs="Hind Light"/>
          <w:sz w:val="20"/>
          <w:szCs w:val="20"/>
        </w:rPr>
        <w:t xml:space="preserve"> in Ireland</w:t>
      </w:r>
      <w:r w:rsidRPr="004A17C9">
        <w:rPr>
          <w:rFonts w:ascii="Hind Light" w:eastAsia="Hind Light" w:hAnsi="Hind Light" w:cs="Hind Light"/>
          <w:sz w:val="20"/>
          <w:szCs w:val="20"/>
        </w:rPr>
        <w:t>, namely Vodafone, 3 Ireland, Meteor, Imagine and Airspan, will pay €78m between them in the State's latest spectrum auction.</w:t>
      </w:r>
      <w:r w:rsidR="004827F4" w:rsidRPr="004A17C9">
        <w:rPr>
          <w:rFonts w:ascii="Hind Light" w:eastAsia="Hind Light" w:hAnsi="Hind Light" w:cs="Hind Light"/>
          <w:sz w:val="20"/>
          <w:szCs w:val="20"/>
        </w:rPr>
        <w:t xml:space="preserve"> The operators will pay €57m upfront and a further €21m over a 15-year licensing period for the right to use parts of the </w:t>
      </w:r>
      <w:r w:rsidR="009F445E" w:rsidRPr="004A17C9">
        <w:rPr>
          <w:rFonts w:ascii="Hind Light" w:eastAsia="Hind Light" w:hAnsi="Hind Light" w:cs="Hind Light"/>
          <w:sz w:val="20"/>
          <w:szCs w:val="20"/>
        </w:rPr>
        <w:t>3.6 GHz</w:t>
      </w:r>
      <w:r w:rsidR="004827F4" w:rsidRPr="004A17C9">
        <w:rPr>
          <w:rFonts w:ascii="Hind Light" w:eastAsia="Hind Light" w:hAnsi="Hind Light" w:cs="Hind Light"/>
          <w:sz w:val="20"/>
          <w:szCs w:val="20"/>
        </w:rPr>
        <w:t xml:space="preserve"> spectrum band, considered to be crucial for the development of 5G mobile services.</w:t>
      </w:r>
      <w:r w:rsidR="004827F4" w:rsidRPr="004A17C9">
        <w:rPr>
          <w:rFonts w:ascii="Hind Light" w:hAnsi="Hind Light" w:cs="Hind Light"/>
        </w:rPr>
        <w:t xml:space="preserve"> </w:t>
      </w:r>
      <w:r w:rsidR="004827F4" w:rsidRPr="004A17C9">
        <w:rPr>
          <w:rFonts w:ascii="Hind Light" w:eastAsia="Hind Light" w:hAnsi="Hind Light" w:cs="Hind Light"/>
          <w:sz w:val="20"/>
          <w:szCs w:val="20"/>
        </w:rPr>
        <w:t>5G mobile services are expected to be introduced in Ireland around 2020, promising speeds equivalent to fibre broadband.</w:t>
      </w:r>
    </w:p>
    <w:p w14:paraId="3C9F1EBA" w14:textId="77777777" w:rsidR="004827F4" w:rsidRPr="004A17C9" w:rsidRDefault="004827F4" w:rsidP="009F445E">
      <w:pPr>
        <w:pStyle w:val="Pardeliste"/>
        <w:numPr>
          <w:ilvl w:val="0"/>
          <w:numId w:val="42"/>
        </w:numPr>
        <w:spacing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Communications Minister Denis Naughten also welcomed the auction results, </w:t>
      </w:r>
      <w:r w:rsidR="00B47A74" w:rsidRPr="004A17C9">
        <w:rPr>
          <w:rFonts w:ascii="Hind Light" w:eastAsia="Hind Light" w:hAnsi="Hind Light" w:cs="Hind Light"/>
          <w:sz w:val="20"/>
          <w:szCs w:val="20"/>
        </w:rPr>
        <w:t xml:space="preserve">claiming that they were </w:t>
      </w:r>
      <w:r w:rsidRPr="004A17C9">
        <w:rPr>
          <w:rFonts w:ascii="Hind Light" w:eastAsia="Hind Light" w:hAnsi="Hind Light" w:cs="Hind Light"/>
          <w:sz w:val="20"/>
          <w:szCs w:val="20"/>
        </w:rPr>
        <w:t>“highly significant also for rural areas”.</w:t>
      </w:r>
    </w:p>
    <w:p w14:paraId="3F6AAA20" w14:textId="77777777" w:rsidR="00486078" w:rsidRPr="004A17C9" w:rsidRDefault="00486078" w:rsidP="00AE4A18">
      <w:pPr>
        <w:spacing w:line="280" w:lineRule="exact"/>
        <w:jc w:val="both"/>
        <w:rPr>
          <w:rFonts w:ascii="Hind Light" w:eastAsia="Hind Light" w:hAnsi="Hind Light" w:cs="Hind Light"/>
          <w:sz w:val="20"/>
          <w:szCs w:val="20"/>
        </w:rPr>
      </w:pPr>
    </w:p>
    <w:p w14:paraId="7A0D5E52" w14:textId="77777777" w:rsidR="00486078" w:rsidRPr="004A17C9" w:rsidRDefault="00486078" w:rsidP="00486078">
      <w:pPr>
        <w:spacing w:line="280" w:lineRule="exact"/>
        <w:jc w:val="both"/>
        <w:rPr>
          <w:rFonts w:ascii="Hind Light" w:eastAsia="Hind Light" w:hAnsi="Hind Light" w:cs="Hind Light"/>
          <w:b/>
          <w:sz w:val="20"/>
          <w:szCs w:val="20"/>
        </w:rPr>
      </w:pPr>
      <w:r w:rsidRPr="004A17C9">
        <w:rPr>
          <w:rFonts w:ascii="Hind Light" w:eastAsia="Hind Light" w:hAnsi="Hind Light" w:cs="Hind Light"/>
          <w:b/>
          <w:sz w:val="20"/>
          <w:szCs w:val="20"/>
        </w:rPr>
        <w:t>EU: European Commission VP Andrus Ansip addresses European Data Economy</w:t>
      </w:r>
    </w:p>
    <w:p w14:paraId="6DE861AD" w14:textId="77777777" w:rsidR="00486078" w:rsidRPr="004A17C9" w:rsidRDefault="00486078" w:rsidP="00486078">
      <w:pPr>
        <w:pStyle w:val="Pardeliste"/>
        <w:numPr>
          <w:ilvl w:val="0"/>
          <w:numId w:val="38"/>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In answering a written question submitted by MEP Victor Negrescu (S&amp;D, RO) on how the European Commission plans to improve access to European public data, Vice-President Andrus Ansip has </w:t>
      </w:r>
      <w:hyperlink r:id="rId13" w:history="1">
        <w:r w:rsidRPr="004A17C9">
          <w:rPr>
            <w:rStyle w:val="Lienhypertexte"/>
            <w:rFonts w:ascii="Hind Light" w:eastAsia="Hind Light" w:hAnsi="Hind Light" w:cs="Hind Light"/>
            <w:sz w:val="20"/>
            <w:szCs w:val="20"/>
          </w:rPr>
          <w:t>reaffirmed</w:t>
        </w:r>
      </w:hyperlink>
      <w:r w:rsidRPr="004A17C9">
        <w:rPr>
          <w:rFonts w:ascii="Hind Light" w:eastAsia="Hind Light" w:hAnsi="Hind Light" w:cs="Hind Light"/>
          <w:sz w:val="20"/>
          <w:szCs w:val="20"/>
        </w:rPr>
        <w:t xml:space="preserve"> that “a wide re-use of data held by public sector bodies is at the heart of the Commission's Open Data policy”.</w:t>
      </w:r>
    </w:p>
    <w:p w14:paraId="06F82DA6" w14:textId="77777777" w:rsidR="00486078" w:rsidRDefault="00486078" w:rsidP="00486078">
      <w:pPr>
        <w:pStyle w:val="Pardeliste"/>
        <w:numPr>
          <w:ilvl w:val="0"/>
          <w:numId w:val="38"/>
        </w:numPr>
        <w:tabs>
          <w:tab w:val="left" w:pos="916"/>
        </w:tabs>
        <w:spacing w:after="200"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According to VP Andrus Ansip, the European Commission will prepare in spring 2018 an initiative on accessibility and re-use of public and publicly funded data and further explore the issue of privately held data which are of public interest. In the meanwhile, the European Commission will continue to promote accessibility and discoverability of public data.</w:t>
      </w:r>
    </w:p>
    <w:p w14:paraId="79FC0042" w14:textId="77777777" w:rsidR="004A17C9" w:rsidRPr="004A17C9" w:rsidRDefault="004A17C9" w:rsidP="004A17C9">
      <w:pPr>
        <w:spacing w:line="280" w:lineRule="exact"/>
        <w:jc w:val="both"/>
        <w:rPr>
          <w:rFonts w:ascii="Hind Light" w:eastAsia="Hind Light" w:hAnsi="Hind Light" w:cs="Hind Light"/>
          <w:sz w:val="20"/>
          <w:szCs w:val="20"/>
        </w:rPr>
      </w:pPr>
      <w:r w:rsidRPr="004A17C9">
        <w:rPr>
          <w:rFonts w:ascii="Hind Light" w:eastAsia="Hind Light" w:hAnsi="Hind Light" w:cs="Hind Light"/>
          <w:b/>
          <w:sz w:val="20"/>
          <w:szCs w:val="20"/>
        </w:rPr>
        <w:t>EU: European Commission launches public consultation on Database Directive</w:t>
      </w:r>
    </w:p>
    <w:p w14:paraId="53A2E4B4" w14:textId="77777777" w:rsidR="004A17C9" w:rsidRPr="004A17C9" w:rsidRDefault="004A17C9" w:rsidP="004A17C9">
      <w:pPr>
        <w:pStyle w:val="Pardeliste"/>
        <w:numPr>
          <w:ilvl w:val="0"/>
          <w:numId w:val="42"/>
        </w:numPr>
        <w:spacing w:after="200"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The Commission has launched a </w:t>
      </w:r>
      <w:hyperlink r:id="rId14" w:history="1">
        <w:r w:rsidRPr="004A17C9">
          <w:rPr>
            <w:rStyle w:val="Lienhypertexte"/>
            <w:rFonts w:ascii="Hind Light" w:eastAsia="Hind Light" w:hAnsi="Hind Light" w:cs="Hind Light"/>
            <w:sz w:val="20"/>
            <w:szCs w:val="20"/>
          </w:rPr>
          <w:t>public consultation</w:t>
        </w:r>
      </w:hyperlink>
      <w:r w:rsidRPr="004A17C9">
        <w:rPr>
          <w:rFonts w:ascii="Hind Light" w:eastAsia="Hind Light" w:hAnsi="Hind Light" w:cs="Hind Light"/>
          <w:sz w:val="20"/>
          <w:szCs w:val="20"/>
        </w:rPr>
        <w:t xml:space="preserve"> on the Database Directive, which will run from 24 May 2017 to 30 August 2017. The consultation aims at gathering information on the evolution of the market related to databases; the use and the impact of the copyright and the sui generis protection regimes on the database makers and users; and the application of the Database Directive and possible needs of adjustment. </w:t>
      </w:r>
    </w:p>
    <w:p w14:paraId="2B2CA9A1" w14:textId="77777777" w:rsidR="004A17C9" w:rsidRPr="004A17C9" w:rsidRDefault="004A17C9" w:rsidP="004A17C9">
      <w:pPr>
        <w:pStyle w:val="Pardeliste"/>
        <w:numPr>
          <w:ilvl w:val="0"/>
          <w:numId w:val="42"/>
        </w:numPr>
        <w:spacing w:after="200"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The Commission wants to determine </w:t>
      </w:r>
      <w:r>
        <w:rPr>
          <w:rFonts w:ascii="Hind Light" w:eastAsia="Hind Light" w:hAnsi="Hind Light" w:cs="Hind Light"/>
          <w:sz w:val="20"/>
          <w:szCs w:val="20"/>
        </w:rPr>
        <w:t>whether</w:t>
      </w:r>
      <w:r w:rsidRPr="004A17C9">
        <w:rPr>
          <w:rFonts w:ascii="Hind Light" w:eastAsia="Hind Light" w:hAnsi="Hind Light" w:cs="Hind Light"/>
          <w:sz w:val="20"/>
          <w:szCs w:val="20"/>
        </w:rPr>
        <w:t xml:space="preserve"> the current directive is fit-for-purpose in a digital, data-driven economy.</w:t>
      </w:r>
    </w:p>
    <w:p w14:paraId="6B744FF7" w14:textId="77777777" w:rsidR="004A17C9" w:rsidRPr="004A17C9" w:rsidRDefault="004A17C9" w:rsidP="004A17C9">
      <w:pPr>
        <w:pStyle w:val="Pardeliste"/>
        <w:numPr>
          <w:ilvl w:val="0"/>
          <w:numId w:val="42"/>
        </w:numPr>
        <w:spacing w:after="200"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The Database Directive, as it currently stands provides legal protection for databases (copyright protection for original databases and “sui generis” protection for databases in which a major investment has been made). </w:t>
      </w:r>
    </w:p>
    <w:p w14:paraId="682CA5B2" w14:textId="77777777" w:rsidR="0094598F" w:rsidRPr="004A17C9" w:rsidRDefault="0094598F" w:rsidP="004827F4">
      <w:pPr>
        <w:spacing w:after="200" w:line="280" w:lineRule="exact"/>
        <w:jc w:val="both"/>
        <w:rPr>
          <w:rFonts w:ascii="Hind Light" w:eastAsia="Hind Light" w:hAnsi="Hind Light" w:cs="Hind Light"/>
          <w:color w:val="3A82E4"/>
        </w:rPr>
      </w:pPr>
      <w:r w:rsidRPr="004A17C9">
        <w:rPr>
          <w:rFonts w:ascii="Hind Light" w:eastAsia="Hind Light" w:hAnsi="Hind Light" w:cs="Hind Light"/>
          <w:color w:val="3A82E4"/>
        </w:rPr>
        <w:t xml:space="preserve">Trust </w:t>
      </w:r>
    </w:p>
    <w:p w14:paraId="13DD9E52" w14:textId="77777777" w:rsidR="00A178CE" w:rsidRPr="004A17C9" w:rsidRDefault="00A178CE" w:rsidP="00A178CE">
      <w:pPr>
        <w:spacing w:line="280" w:lineRule="exact"/>
        <w:jc w:val="both"/>
        <w:rPr>
          <w:rFonts w:ascii="Hind Light" w:eastAsia="Hind Light" w:hAnsi="Hind Light" w:cs="Hind Light"/>
          <w:sz w:val="20"/>
          <w:szCs w:val="20"/>
        </w:rPr>
      </w:pPr>
      <w:r w:rsidRPr="004A17C9">
        <w:rPr>
          <w:rFonts w:ascii="Hind Light" w:eastAsia="Hind Light" w:hAnsi="Hind Light" w:cs="Hind Light"/>
          <w:b/>
          <w:sz w:val="20"/>
          <w:szCs w:val="20"/>
        </w:rPr>
        <w:t>EU: APPA-GDPR Interactive Workshop</w:t>
      </w:r>
    </w:p>
    <w:p w14:paraId="380F5E8C" w14:textId="77777777" w:rsidR="0073718A" w:rsidRPr="004A17C9" w:rsidRDefault="0073718A" w:rsidP="0073718A">
      <w:pPr>
        <w:pStyle w:val="Pardeliste"/>
        <w:numPr>
          <w:ilvl w:val="0"/>
          <w:numId w:val="42"/>
        </w:numPr>
        <w:spacing w:after="200"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On May 18 and 19, the </w:t>
      </w:r>
      <w:hyperlink r:id="rId15" w:history="1">
        <w:r w:rsidRPr="004A17C9">
          <w:rPr>
            <w:rStyle w:val="Lienhypertexte"/>
            <w:rFonts w:ascii="Hind Light" w:eastAsia="Hind Light" w:hAnsi="Hind Light" w:cs="Hind Light"/>
            <w:sz w:val="20"/>
            <w:szCs w:val="20"/>
          </w:rPr>
          <w:t>first international interactive workshop</w:t>
        </w:r>
      </w:hyperlink>
      <w:r w:rsidRPr="004A17C9">
        <w:rPr>
          <w:rFonts w:ascii="Hind Light" w:eastAsia="Hind Light" w:hAnsi="Hind Light" w:cs="Hind Light"/>
          <w:sz w:val="20"/>
          <w:szCs w:val="20"/>
        </w:rPr>
        <w:t xml:space="preserve"> on the General Data Protection Regulation (GDPR) between Asian Pacific Privacy Authority (APPA) members and Working Party 29 (WP29) members was held in Paris</w:t>
      </w:r>
      <w:r w:rsidR="00B47A74" w:rsidRPr="004A17C9">
        <w:rPr>
          <w:rFonts w:ascii="Hind Light" w:eastAsia="Hind Light" w:hAnsi="Hind Light" w:cs="Hind Light"/>
          <w:sz w:val="20"/>
          <w:szCs w:val="20"/>
        </w:rPr>
        <w:t xml:space="preserve">. It was </w:t>
      </w:r>
      <w:r w:rsidRPr="004A17C9">
        <w:rPr>
          <w:rFonts w:ascii="Hind Light" w:eastAsia="Hind Light" w:hAnsi="Hind Light" w:cs="Hind Light"/>
          <w:sz w:val="20"/>
          <w:szCs w:val="20"/>
        </w:rPr>
        <w:t>hosted by the French Data Protection Authority (CNIL)</w:t>
      </w:r>
      <w:r w:rsidR="00A178CE" w:rsidRPr="004A17C9">
        <w:rPr>
          <w:rFonts w:ascii="Hind Light" w:eastAsia="Hind Light" w:hAnsi="Hind Light" w:cs="Hind Light"/>
          <w:sz w:val="20"/>
          <w:szCs w:val="20"/>
        </w:rPr>
        <w:t>.</w:t>
      </w:r>
      <w:r w:rsidRPr="004A17C9">
        <w:rPr>
          <w:rFonts w:ascii="Hind Light" w:eastAsia="Hind Light" w:hAnsi="Hind Light" w:cs="Hind Light"/>
          <w:sz w:val="20"/>
          <w:szCs w:val="20"/>
        </w:rPr>
        <w:t xml:space="preserve"> The participants agreed to establish this APPA/WP29 meeting as an annual event</w:t>
      </w:r>
    </w:p>
    <w:p w14:paraId="40AAE186" w14:textId="77777777" w:rsidR="00A178CE" w:rsidRPr="004A17C9" w:rsidRDefault="0073718A" w:rsidP="0073718A">
      <w:pPr>
        <w:pStyle w:val="Pardeliste"/>
        <w:numPr>
          <w:ilvl w:val="0"/>
          <w:numId w:val="42"/>
        </w:numPr>
        <w:spacing w:after="200"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The event aimed at sharing knowledge and boost</w:t>
      </w:r>
      <w:r w:rsidR="00B47A74" w:rsidRPr="004A17C9">
        <w:rPr>
          <w:rFonts w:ascii="Hind Light" w:eastAsia="Hind Light" w:hAnsi="Hind Light" w:cs="Hind Light"/>
          <w:sz w:val="20"/>
          <w:szCs w:val="20"/>
        </w:rPr>
        <w:t>ing</w:t>
      </w:r>
      <w:r w:rsidRPr="004A17C9">
        <w:rPr>
          <w:rFonts w:ascii="Hind Light" w:eastAsia="Hind Light" w:hAnsi="Hind Light" w:cs="Hind Light"/>
          <w:sz w:val="20"/>
          <w:szCs w:val="20"/>
        </w:rPr>
        <w:t xml:space="preserve"> cooperation between participants on the future challenges that will come with the application of </w:t>
      </w:r>
      <w:r w:rsidR="00B47A74" w:rsidRPr="004A17C9">
        <w:rPr>
          <w:rFonts w:ascii="Hind Light" w:eastAsia="Hind Light" w:hAnsi="Hind Light" w:cs="Hind Light"/>
          <w:sz w:val="20"/>
          <w:szCs w:val="20"/>
        </w:rPr>
        <w:t xml:space="preserve">the </w:t>
      </w:r>
      <w:r w:rsidRPr="004A17C9">
        <w:rPr>
          <w:rFonts w:ascii="Hind Light" w:eastAsia="Hind Light" w:hAnsi="Hind Light" w:cs="Hind Light"/>
          <w:sz w:val="20"/>
          <w:szCs w:val="20"/>
        </w:rPr>
        <w:t xml:space="preserve">GDPR. The APPA </w:t>
      </w:r>
      <w:r w:rsidRPr="004A17C9">
        <w:rPr>
          <w:rFonts w:ascii="Hind Light" w:eastAsia="Hind Light" w:hAnsi="Hind Light" w:cs="Hind Light"/>
          <w:sz w:val="20"/>
          <w:szCs w:val="20"/>
        </w:rPr>
        <w:lastRenderedPageBreak/>
        <w:t>participants had the chance to share their understanding of the GDPR and discussed possible tools to inform their businesses covered by the scope of the GDPR.</w:t>
      </w:r>
    </w:p>
    <w:p w14:paraId="769AA226" w14:textId="77777777" w:rsidR="004A1A36" w:rsidRPr="004A17C9" w:rsidRDefault="00276819" w:rsidP="004A1A36">
      <w:pPr>
        <w:spacing w:line="280" w:lineRule="exact"/>
        <w:jc w:val="both"/>
        <w:rPr>
          <w:rFonts w:ascii="Hind Light" w:eastAsia="Hind Light" w:hAnsi="Hind Light" w:cs="Hind Light"/>
          <w:b/>
          <w:sz w:val="20"/>
          <w:szCs w:val="20"/>
        </w:rPr>
      </w:pPr>
      <w:r w:rsidRPr="004A17C9">
        <w:rPr>
          <w:rFonts w:ascii="Hind Light" w:eastAsia="Hind Light" w:hAnsi="Hind Light" w:cs="Hind Light"/>
          <w:b/>
          <w:sz w:val="20"/>
          <w:szCs w:val="20"/>
        </w:rPr>
        <w:t xml:space="preserve">EU: </w:t>
      </w:r>
      <w:r w:rsidR="004A1A36" w:rsidRPr="004A17C9">
        <w:rPr>
          <w:rFonts w:ascii="Hind Light" w:eastAsia="Hind Light" w:hAnsi="Hind Light" w:cs="Hind Light"/>
          <w:b/>
          <w:sz w:val="20"/>
          <w:szCs w:val="20"/>
        </w:rPr>
        <w:t xml:space="preserve">Vice President of the European Commission Andrus Ansip and Commissioner Věra Jourová’s statement on GDPR </w:t>
      </w:r>
    </w:p>
    <w:p w14:paraId="254B8F28" w14:textId="77777777" w:rsidR="00EF42B1" w:rsidRPr="004A17C9" w:rsidRDefault="004A1A36" w:rsidP="00EF42B1">
      <w:pPr>
        <w:pStyle w:val="Pardeliste"/>
        <w:numPr>
          <w:ilvl w:val="0"/>
          <w:numId w:val="38"/>
        </w:numPr>
        <w:spacing w:after="200"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 xml:space="preserve">On May 24, European Commission Vice-President Andrus Ansip and European Commissioner for Justice Věra Jourová made a </w:t>
      </w:r>
      <w:hyperlink r:id="rId16" w:history="1">
        <w:r w:rsidRPr="004A17C9">
          <w:rPr>
            <w:rStyle w:val="Lienhypertexte"/>
            <w:rFonts w:ascii="Hind Light" w:eastAsia="Hind Light" w:hAnsi="Hind Light" w:cs="Hind Light"/>
            <w:sz w:val="20"/>
            <w:szCs w:val="20"/>
          </w:rPr>
          <w:t>statement</w:t>
        </w:r>
      </w:hyperlink>
      <w:r w:rsidRPr="004A17C9">
        <w:rPr>
          <w:rFonts w:ascii="Hind Light" w:eastAsia="Hind Light" w:hAnsi="Hind Light" w:cs="Hind Light"/>
          <w:sz w:val="20"/>
          <w:szCs w:val="20"/>
        </w:rPr>
        <w:t xml:space="preserve"> on the </w:t>
      </w:r>
      <w:r w:rsidR="00B47A74" w:rsidRPr="004A17C9">
        <w:rPr>
          <w:rFonts w:ascii="Hind Light" w:eastAsia="Hind Light" w:hAnsi="Hind Light" w:cs="Hind Light"/>
          <w:sz w:val="20"/>
          <w:szCs w:val="20"/>
        </w:rPr>
        <w:t>General Data Protection Regulation</w:t>
      </w:r>
      <w:r w:rsidRPr="004A17C9">
        <w:rPr>
          <w:rFonts w:ascii="Hind Light" w:eastAsia="Hind Light" w:hAnsi="Hind Light" w:cs="Hind Light"/>
          <w:sz w:val="20"/>
          <w:szCs w:val="20"/>
        </w:rPr>
        <w:t xml:space="preserve"> (GDPR), one year ahead of its entry into force. VP Andrus Ansip and Commissioner Věra Jourová highlighted the need to ensure harmonization and avoid fragmentation </w:t>
      </w:r>
      <w:r w:rsidR="00B47A74" w:rsidRPr="004A17C9">
        <w:rPr>
          <w:rFonts w:ascii="Hind Light" w:eastAsia="Hind Light" w:hAnsi="Hind Light" w:cs="Hind Light"/>
          <w:sz w:val="20"/>
          <w:szCs w:val="20"/>
        </w:rPr>
        <w:t>on</w:t>
      </w:r>
      <w:r w:rsidRPr="004A17C9">
        <w:rPr>
          <w:rFonts w:ascii="Hind Light" w:eastAsia="Hind Light" w:hAnsi="Hind Light" w:cs="Hind Light"/>
          <w:sz w:val="20"/>
          <w:szCs w:val="20"/>
        </w:rPr>
        <w:t xml:space="preserve"> the implementation of</w:t>
      </w:r>
      <w:r w:rsidR="00B47A74" w:rsidRPr="004A17C9">
        <w:rPr>
          <w:rFonts w:ascii="Hind Light" w:eastAsia="Hind Light" w:hAnsi="Hind Light" w:cs="Hind Light"/>
          <w:sz w:val="20"/>
          <w:szCs w:val="20"/>
        </w:rPr>
        <w:t xml:space="preserve"> the</w:t>
      </w:r>
      <w:r w:rsidRPr="004A17C9">
        <w:rPr>
          <w:rFonts w:ascii="Hind Light" w:eastAsia="Hind Light" w:hAnsi="Hind Light" w:cs="Hind Light"/>
          <w:sz w:val="20"/>
          <w:szCs w:val="20"/>
        </w:rPr>
        <w:t xml:space="preserve"> GDPR. </w:t>
      </w:r>
    </w:p>
    <w:p w14:paraId="5EBFB50A" w14:textId="77777777" w:rsidR="00276819" w:rsidRPr="004A17C9" w:rsidRDefault="004A1A36" w:rsidP="00EF42B1">
      <w:pPr>
        <w:pStyle w:val="Pardeliste"/>
        <w:numPr>
          <w:ilvl w:val="0"/>
          <w:numId w:val="38"/>
        </w:numPr>
        <w:spacing w:after="200"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Moreover, they stressed that, from May 2018, businesses will benefit from more legal certainty with a single set of rules and a unique supervisory authority in the EU. According to the statement, since non-personal data do not fall under the GDPR’s scope, the European Commission will make a new legislative proposal “to guarantee the free flow of data” and another proposal promoting accessibility and reuse of public data, by the end of 2017</w:t>
      </w:r>
      <w:r w:rsidR="00276819" w:rsidRPr="004A17C9">
        <w:rPr>
          <w:rFonts w:ascii="Hind Light" w:eastAsia="Hind Light" w:hAnsi="Hind Light" w:cs="Hind Light"/>
          <w:sz w:val="20"/>
          <w:szCs w:val="20"/>
        </w:rPr>
        <w:t>.</w:t>
      </w:r>
    </w:p>
    <w:p w14:paraId="7B9133B8" w14:textId="77777777" w:rsidR="001B7B89" w:rsidRPr="004A17C9" w:rsidRDefault="001B7B89" w:rsidP="001B7B89">
      <w:pPr>
        <w:spacing w:line="280" w:lineRule="exact"/>
        <w:jc w:val="both"/>
        <w:rPr>
          <w:rFonts w:ascii="Hind Light" w:eastAsia="Hind Light" w:hAnsi="Hind Light" w:cs="Hind Light"/>
          <w:b/>
          <w:sz w:val="20"/>
          <w:szCs w:val="20"/>
        </w:rPr>
      </w:pPr>
      <w:r w:rsidRPr="004A17C9">
        <w:rPr>
          <w:rFonts w:ascii="Hind Light" w:eastAsia="Hind Light" w:hAnsi="Hind Light" w:cs="Hind Light"/>
          <w:b/>
          <w:sz w:val="20"/>
          <w:szCs w:val="20"/>
        </w:rPr>
        <w:t xml:space="preserve">EU: </w:t>
      </w:r>
      <w:r w:rsidR="00D673ED" w:rsidRPr="004A17C9">
        <w:rPr>
          <w:rFonts w:ascii="Hind Light" w:eastAsia="Hind Light" w:hAnsi="Hind Light" w:cs="Hind Light"/>
          <w:b/>
          <w:sz w:val="20"/>
          <w:szCs w:val="20"/>
        </w:rPr>
        <w:t>DIGITALEUROPE releases views on A29WP draft guidelines on Data Protection Impact Assessments</w:t>
      </w:r>
    </w:p>
    <w:p w14:paraId="0C7A1A0D" w14:textId="77777777" w:rsidR="00B47A74" w:rsidRPr="004A17C9" w:rsidRDefault="00B47A74" w:rsidP="00E929FE">
      <w:pPr>
        <w:pStyle w:val="Pardeliste"/>
        <w:numPr>
          <w:ilvl w:val="0"/>
          <w:numId w:val="20"/>
        </w:numPr>
        <w:spacing w:after="200"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Last month, the Article 29 Working Party (A29WP) released draft guidelines on Data Protection Impact Assessments</w:t>
      </w:r>
      <w:r w:rsidR="0087487F" w:rsidRPr="004A17C9">
        <w:rPr>
          <w:rFonts w:ascii="Hind Light" w:eastAsia="Hind Light" w:hAnsi="Hind Light" w:cs="Hind Light"/>
          <w:sz w:val="20"/>
          <w:szCs w:val="20"/>
        </w:rPr>
        <w:t xml:space="preserve"> (DPIA)</w:t>
      </w:r>
      <w:r w:rsidRPr="004A17C9">
        <w:rPr>
          <w:rFonts w:ascii="Hind Light" w:eastAsia="Hind Light" w:hAnsi="Hind Light" w:cs="Hind Light"/>
          <w:sz w:val="20"/>
          <w:szCs w:val="20"/>
        </w:rPr>
        <w:t>. Under the GDPR, these impact assessments must be carried out by organisations conducting “high risk processing”</w:t>
      </w:r>
    </w:p>
    <w:p w14:paraId="4346101B" w14:textId="77777777" w:rsidR="00E929FE" w:rsidRPr="004A17C9" w:rsidRDefault="00E929FE" w:rsidP="00E929FE">
      <w:pPr>
        <w:pStyle w:val="Pardeliste"/>
        <w:numPr>
          <w:ilvl w:val="0"/>
          <w:numId w:val="20"/>
        </w:numPr>
        <w:spacing w:after="200"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 xml:space="preserve">DIGITALEUROPE (DE) </w:t>
      </w:r>
      <w:r w:rsidR="0087487F" w:rsidRPr="004A17C9">
        <w:rPr>
          <w:rFonts w:ascii="Hind Light" w:eastAsia="Hind Light" w:hAnsi="Hind Light" w:cs="Hind Light"/>
          <w:sz w:val="20"/>
          <w:szCs w:val="20"/>
        </w:rPr>
        <w:t xml:space="preserve">has released a </w:t>
      </w:r>
      <w:hyperlink r:id="rId17" w:history="1">
        <w:r w:rsidR="0087487F" w:rsidRPr="004A17C9">
          <w:rPr>
            <w:rStyle w:val="Lienhypertexte"/>
            <w:rFonts w:ascii="Hind Light" w:eastAsia="Hind Light" w:hAnsi="Hind Light" w:cs="Hind Light"/>
            <w:sz w:val="20"/>
            <w:szCs w:val="20"/>
          </w:rPr>
          <w:t>position</w:t>
        </w:r>
      </w:hyperlink>
      <w:r w:rsidR="0087487F" w:rsidRPr="004A17C9">
        <w:rPr>
          <w:rStyle w:val="Lienhypertexte"/>
          <w:rFonts w:ascii="Hind Light" w:eastAsia="Hind Light" w:hAnsi="Hind Light" w:cs="Hind Light"/>
          <w:sz w:val="20"/>
          <w:szCs w:val="20"/>
        </w:rPr>
        <w:t xml:space="preserve"> </w:t>
      </w:r>
      <w:r w:rsidR="0087487F" w:rsidRPr="004A17C9">
        <w:rPr>
          <w:rFonts w:ascii="Hind Light" w:eastAsia="Hind Light" w:hAnsi="Hind Light" w:cs="Hind Light"/>
          <w:sz w:val="20"/>
          <w:szCs w:val="20"/>
        </w:rPr>
        <w:t xml:space="preserve">on these guidelines which </w:t>
      </w:r>
      <w:r w:rsidRPr="004A17C9">
        <w:rPr>
          <w:rFonts w:ascii="Hind Light" w:eastAsia="Hind Light" w:hAnsi="Hind Light" w:cs="Hind Light"/>
          <w:sz w:val="20"/>
          <w:szCs w:val="20"/>
        </w:rPr>
        <w:t xml:space="preserve">welcomes the recognition </w:t>
      </w:r>
      <w:r w:rsidR="0087487F" w:rsidRPr="004A17C9">
        <w:rPr>
          <w:rFonts w:ascii="Hind Light" w:eastAsia="Hind Light" w:hAnsi="Hind Light" w:cs="Hind Light"/>
          <w:sz w:val="20"/>
          <w:szCs w:val="20"/>
        </w:rPr>
        <w:t>in them</w:t>
      </w:r>
      <w:r w:rsidRPr="004A17C9">
        <w:rPr>
          <w:rFonts w:ascii="Hind Light" w:eastAsia="Hind Light" w:hAnsi="Hind Light" w:cs="Hind Light"/>
          <w:sz w:val="20"/>
          <w:szCs w:val="20"/>
        </w:rPr>
        <w:t xml:space="preserve"> that DPIAs and ‘high risk’ are context specific and that entities must have a level of flexibility to devise their specific risk assessment frameworks. </w:t>
      </w:r>
      <w:r w:rsidR="0087487F" w:rsidRPr="004A17C9">
        <w:rPr>
          <w:rFonts w:ascii="Hind Light" w:eastAsia="Hind Light" w:hAnsi="Hind Light" w:cs="Hind Light"/>
          <w:sz w:val="20"/>
          <w:szCs w:val="20"/>
        </w:rPr>
        <w:t>D</w:t>
      </w:r>
      <w:r w:rsidRPr="004A17C9">
        <w:rPr>
          <w:rFonts w:ascii="Hind Light" w:eastAsia="Hind Light" w:hAnsi="Hind Light" w:cs="Hind Light"/>
          <w:sz w:val="20"/>
          <w:szCs w:val="20"/>
        </w:rPr>
        <w:t xml:space="preserve">E also thanks the WP for initial thoughts on the debate of what constitutes ‘high risk’ data processing operations. </w:t>
      </w:r>
    </w:p>
    <w:p w14:paraId="71E4BC2A" w14:textId="77777777" w:rsidR="00E929FE" w:rsidRPr="004A17C9" w:rsidRDefault="0087487F" w:rsidP="00E929FE">
      <w:pPr>
        <w:pStyle w:val="Pardeliste"/>
        <w:numPr>
          <w:ilvl w:val="0"/>
          <w:numId w:val="20"/>
        </w:numPr>
        <w:spacing w:after="200"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DE also</w:t>
      </w:r>
      <w:r w:rsidR="00E929FE" w:rsidRPr="004A17C9">
        <w:rPr>
          <w:rFonts w:ascii="Hind Light" w:eastAsia="Hind Light" w:hAnsi="Hind Light" w:cs="Hind Light"/>
          <w:sz w:val="20"/>
          <w:szCs w:val="20"/>
        </w:rPr>
        <w:t xml:space="preserve"> opposes</w:t>
      </w:r>
      <w:r w:rsidRPr="004A17C9">
        <w:rPr>
          <w:rFonts w:ascii="Hind Light" w:eastAsia="Hind Light" w:hAnsi="Hind Light" w:cs="Hind Light"/>
          <w:sz w:val="20"/>
          <w:szCs w:val="20"/>
        </w:rPr>
        <w:t xml:space="preserve"> the imposition of a</w:t>
      </w:r>
      <w:r w:rsidR="00E929FE" w:rsidRPr="004A17C9">
        <w:rPr>
          <w:rFonts w:ascii="Hind Light" w:eastAsia="Hind Light" w:hAnsi="Hind Light" w:cs="Hind Light"/>
          <w:sz w:val="20"/>
          <w:szCs w:val="20"/>
        </w:rPr>
        <w:t xml:space="preserve"> list of high risk processing activities as it would be quickly outdated. </w:t>
      </w:r>
      <w:r w:rsidRPr="004A17C9">
        <w:rPr>
          <w:rFonts w:ascii="Hind Light" w:eastAsia="Hind Light" w:hAnsi="Hind Light" w:cs="Hind Light"/>
          <w:sz w:val="20"/>
          <w:szCs w:val="20"/>
        </w:rPr>
        <w:t>However, it</w:t>
      </w:r>
      <w:r w:rsidR="00E929FE" w:rsidRPr="004A17C9">
        <w:rPr>
          <w:rFonts w:ascii="Hind Light" w:eastAsia="Hind Light" w:hAnsi="Hind Light" w:cs="Hind Light"/>
          <w:sz w:val="20"/>
          <w:szCs w:val="20"/>
        </w:rPr>
        <w:t xml:space="preserve"> </w:t>
      </w:r>
      <w:r w:rsidRPr="004A17C9">
        <w:rPr>
          <w:rFonts w:ascii="Hind Light" w:eastAsia="Hind Light" w:hAnsi="Hind Light" w:cs="Hind Light"/>
          <w:sz w:val="20"/>
          <w:szCs w:val="20"/>
        </w:rPr>
        <w:t xml:space="preserve">is </w:t>
      </w:r>
      <w:r w:rsidR="00E929FE" w:rsidRPr="004A17C9">
        <w:rPr>
          <w:rFonts w:ascii="Hind Light" w:eastAsia="Hind Light" w:hAnsi="Hind Light" w:cs="Hind Light"/>
          <w:sz w:val="20"/>
          <w:szCs w:val="20"/>
        </w:rPr>
        <w:t>concern</w:t>
      </w:r>
      <w:r w:rsidRPr="004A17C9">
        <w:rPr>
          <w:rFonts w:ascii="Hind Light" w:eastAsia="Hind Light" w:hAnsi="Hind Light" w:cs="Hind Light"/>
          <w:sz w:val="20"/>
          <w:szCs w:val="20"/>
        </w:rPr>
        <w:t>ed</w:t>
      </w:r>
      <w:r w:rsidR="00E929FE" w:rsidRPr="004A17C9">
        <w:rPr>
          <w:rFonts w:ascii="Hind Light" w:eastAsia="Hind Light" w:hAnsi="Hind Light" w:cs="Hind Light"/>
          <w:sz w:val="20"/>
          <w:szCs w:val="20"/>
        </w:rPr>
        <w:t xml:space="preserve"> that the draft guidelines will result in organisations interpreting DPIAs as a mandatory exercise for the majority of data processing rather than as an “exceptional instrument” for “high risk situations”. </w:t>
      </w:r>
    </w:p>
    <w:p w14:paraId="6F1387B9" w14:textId="77777777" w:rsidR="001B7B89" w:rsidRPr="004A17C9" w:rsidRDefault="00E929FE" w:rsidP="00E929FE">
      <w:pPr>
        <w:pStyle w:val="Pardeliste"/>
        <w:numPr>
          <w:ilvl w:val="0"/>
          <w:numId w:val="20"/>
        </w:numPr>
        <w:spacing w:after="200"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DE encourages the WP29 to provide more concrete examples of ‘high risk’ processing as well as “low risk” processing to provide clarity to data controllers and avoid unnecessary DPIA exercises</w:t>
      </w:r>
      <w:r w:rsidR="00FD65F9" w:rsidRPr="004A17C9">
        <w:rPr>
          <w:rFonts w:ascii="Hind Light" w:eastAsia="Hind Light" w:hAnsi="Hind Light" w:cs="Hind Light"/>
          <w:sz w:val="20"/>
          <w:szCs w:val="20"/>
        </w:rPr>
        <w:t>.</w:t>
      </w:r>
    </w:p>
    <w:p w14:paraId="5B4AB6C5" w14:textId="77777777" w:rsidR="00276819" w:rsidRPr="004A17C9" w:rsidRDefault="008D6BB2" w:rsidP="00276819">
      <w:pPr>
        <w:tabs>
          <w:tab w:val="left" w:pos="2400"/>
        </w:tabs>
        <w:spacing w:line="280" w:lineRule="exact"/>
        <w:jc w:val="both"/>
        <w:rPr>
          <w:rFonts w:ascii="Hind Light" w:eastAsia="Hind Light" w:hAnsi="Hind Light" w:cs="Hind Light"/>
          <w:b/>
          <w:sz w:val="20"/>
          <w:szCs w:val="20"/>
        </w:rPr>
      </w:pPr>
      <w:r w:rsidRPr="004A17C9">
        <w:rPr>
          <w:rFonts w:ascii="Hind Light" w:eastAsia="Hind Light" w:hAnsi="Hind Light" w:cs="Hind Light"/>
          <w:b/>
          <w:sz w:val="20"/>
          <w:szCs w:val="20"/>
        </w:rPr>
        <w:t>UK</w:t>
      </w:r>
      <w:r w:rsidR="00276819" w:rsidRPr="004A17C9">
        <w:rPr>
          <w:rFonts w:ascii="Hind Light" w:eastAsia="Hind Light" w:hAnsi="Hind Light" w:cs="Hind Light"/>
          <w:b/>
          <w:sz w:val="20"/>
          <w:szCs w:val="20"/>
        </w:rPr>
        <w:t xml:space="preserve">: </w:t>
      </w:r>
      <w:r w:rsidRPr="004A17C9">
        <w:rPr>
          <w:rFonts w:ascii="Hind Light" w:eastAsia="Hind Light" w:hAnsi="Hind Light" w:cs="Hind Light"/>
          <w:b/>
          <w:sz w:val="20"/>
          <w:szCs w:val="20"/>
        </w:rPr>
        <w:t xml:space="preserve">UK Conservative Party </w:t>
      </w:r>
      <w:r w:rsidR="0087487F" w:rsidRPr="004A17C9">
        <w:rPr>
          <w:rFonts w:ascii="Hind Light" w:eastAsia="Hind Light" w:hAnsi="Hind Light" w:cs="Hind Light"/>
          <w:b/>
          <w:sz w:val="20"/>
          <w:szCs w:val="20"/>
        </w:rPr>
        <w:t>Election Manifesto addresses the “digital age”</w:t>
      </w:r>
    </w:p>
    <w:p w14:paraId="5C52996D" w14:textId="77777777" w:rsidR="00EF42B1" w:rsidRPr="004A17C9" w:rsidRDefault="008D6BB2" w:rsidP="00EF42B1">
      <w:pPr>
        <w:pStyle w:val="Pardeliste"/>
        <w:numPr>
          <w:ilvl w:val="0"/>
          <w:numId w:val="21"/>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The Conservative Party has released its 2017 </w:t>
      </w:r>
      <w:hyperlink r:id="rId18" w:history="1">
        <w:r w:rsidRPr="004A17C9">
          <w:rPr>
            <w:rStyle w:val="Lienhypertexte"/>
            <w:rFonts w:ascii="Hind Light" w:eastAsia="Hind Light" w:hAnsi="Hind Light" w:cs="Hind Light"/>
            <w:sz w:val="20"/>
            <w:szCs w:val="20"/>
          </w:rPr>
          <w:t>campaign Manifesto</w:t>
        </w:r>
      </w:hyperlink>
      <w:r w:rsidRPr="004A17C9">
        <w:rPr>
          <w:rFonts w:ascii="Hind Light" w:eastAsia="Hind Light" w:hAnsi="Hind Light" w:cs="Hind Light"/>
          <w:sz w:val="20"/>
          <w:szCs w:val="20"/>
        </w:rPr>
        <w:t xml:space="preserve"> “The Conservative Manifesto: Forward, together Our Plan for a Stronger Britain and a Prosperous Future” with an entire chapter on “prosperity and security in a digital age.”</w:t>
      </w:r>
      <w:r w:rsidR="00EF42B1" w:rsidRPr="004A17C9">
        <w:rPr>
          <w:rFonts w:ascii="Hind Light" w:eastAsia="Hind Light" w:hAnsi="Hind Light" w:cs="Hind Light"/>
          <w:sz w:val="20"/>
          <w:szCs w:val="20"/>
        </w:rPr>
        <w:t xml:space="preserve"> </w:t>
      </w:r>
      <w:r w:rsidRPr="004A17C9">
        <w:rPr>
          <w:rFonts w:ascii="Hind Light" w:eastAsia="Hind Light" w:hAnsi="Hind Light" w:cs="Hind Light"/>
          <w:sz w:val="20"/>
          <w:szCs w:val="20"/>
        </w:rPr>
        <w:t xml:space="preserve">The UK Conservative party aims to create the “world’s most dynamic digital economy” by clarifying rules around </w:t>
      </w:r>
      <w:r w:rsidR="00E110B9" w:rsidRPr="004A17C9">
        <w:rPr>
          <w:rFonts w:ascii="Hind Light" w:eastAsia="Hind Light" w:hAnsi="Hind Light" w:cs="Hind Light"/>
          <w:sz w:val="20"/>
          <w:szCs w:val="20"/>
        </w:rPr>
        <w:t>Internet</w:t>
      </w:r>
      <w:r w:rsidRPr="004A17C9">
        <w:rPr>
          <w:rFonts w:ascii="Hind Light" w:eastAsia="Hind Light" w:hAnsi="Hind Light" w:cs="Hind Light"/>
          <w:sz w:val="20"/>
          <w:szCs w:val="20"/>
        </w:rPr>
        <w:t xml:space="preserve"> businesses, data and online rights. </w:t>
      </w:r>
    </w:p>
    <w:p w14:paraId="67D4E015" w14:textId="77777777" w:rsidR="00276819" w:rsidRPr="004A17C9" w:rsidRDefault="008D6BB2" w:rsidP="00EF42B1">
      <w:pPr>
        <w:pStyle w:val="Pardeliste"/>
        <w:numPr>
          <w:ilvl w:val="0"/>
          <w:numId w:val="21"/>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It argues for new protections of people’s data online, “backed by a new data protection law”, including giving British citizens the right to require major social media platforms to delete information held about them at the age of 18, and “unprecedented investment in cyber security and stronger cyber standards for public services.” </w:t>
      </w:r>
    </w:p>
    <w:bookmarkEnd w:id="0"/>
    <w:p w14:paraId="6CA57EA3" w14:textId="77777777" w:rsidR="00361712" w:rsidRPr="004A17C9" w:rsidRDefault="00361712" w:rsidP="00361712">
      <w:pPr>
        <w:spacing w:line="280" w:lineRule="exact"/>
        <w:jc w:val="both"/>
        <w:rPr>
          <w:rFonts w:ascii="Hind Light" w:eastAsia="Hind Light" w:hAnsi="Hind Light" w:cs="Hind Light"/>
          <w:b/>
          <w:sz w:val="20"/>
          <w:szCs w:val="20"/>
          <w:lang w:val="en-US"/>
        </w:rPr>
      </w:pPr>
      <w:r w:rsidRPr="004A17C9">
        <w:rPr>
          <w:rFonts w:ascii="Hind Light" w:eastAsia="Hind Light" w:hAnsi="Hind Light" w:cs="Hind Light"/>
          <w:b/>
          <w:sz w:val="20"/>
          <w:szCs w:val="20"/>
        </w:rPr>
        <w:t xml:space="preserve">EU: </w:t>
      </w:r>
      <w:r w:rsidR="00EF42B1" w:rsidRPr="004A17C9">
        <w:rPr>
          <w:rFonts w:ascii="Hind Light" w:eastAsia="Hind Light" w:hAnsi="Hind Light" w:cs="Hind Light"/>
          <w:b/>
          <w:sz w:val="20"/>
          <w:szCs w:val="20"/>
        </w:rPr>
        <w:t>ENISA and tech companies ask the European Commission for mandatory security rules for IoT</w:t>
      </w:r>
    </w:p>
    <w:p w14:paraId="23F81A78" w14:textId="77777777" w:rsidR="00EF42B1" w:rsidRPr="004A17C9" w:rsidRDefault="00EF42B1" w:rsidP="00EF42B1">
      <w:pPr>
        <w:pStyle w:val="Pardeliste"/>
        <w:numPr>
          <w:ilvl w:val="0"/>
          <w:numId w:val="42"/>
        </w:numPr>
        <w:spacing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On May 23, the European Union Agency for Network and Information Security (ENISA) and a group of tech companies (notably, Infineon, NXP and STMicroelectronics) unveiled a “</w:t>
      </w:r>
      <w:hyperlink r:id="rId19" w:history="1">
        <w:r w:rsidRPr="004A17C9">
          <w:rPr>
            <w:rStyle w:val="Lienhypertexte"/>
            <w:rFonts w:ascii="Hind Light" w:eastAsia="Hind Light" w:hAnsi="Hind Light" w:cs="Hind Light"/>
            <w:sz w:val="20"/>
            <w:szCs w:val="20"/>
          </w:rPr>
          <w:t>Common Position on Cybersecurity</w:t>
        </w:r>
      </w:hyperlink>
      <w:r w:rsidRPr="004A17C9">
        <w:rPr>
          <w:rFonts w:ascii="Hind Light" w:eastAsia="Hind Light" w:hAnsi="Hind Light" w:cs="Hind Light"/>
          <w:sz w:val="20"/>
          <w:szCs w:val="20"/>
        </w:rPr>
        <w:t xml:space="preserve">”, formerly agreed in December 2016. </w:t>
      </w:r>
    </w:p>
    <w:p w14:paraId="001C2CC3" w14:textId="77777777" w:rsidR="00EF42B1" w:rsidRPr="004A17C9" w:rsidRDefault="0087487F" w:rsidP="00EF42B1">
      <w:pPr>
        <w:pStyle w:val="Pardeliste"/>
        <w:numPr>
          <w:ilvl w:val="0"/>
          <w:numId w:val="42"/>
        </w:numPr>
        <w:spacing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lastRenderedPageBreak/>
        <w:t>The position claims</w:t>
      </w:r>
      <w:r w:rsidR="00EF42B1" w:rsidRPr="004A17C9">
        <w:rPr>
          <w:rFonts w:ascii="Hind Light" w:eastAsia="Hind Light" w:hAnsi="Hind Light" w:cs="Hind Light"/>
          <w:sz w:val="20"/>
          <w:szCs w:val="20"/>
        </w:rPr>
        <w:t xml:space="preserve"> “there is no basic level, no level zero defined for the security and privacy of connected and smart devices”, </w:t>
      </w:r>
      <w:r w:rsidRPr="004A17C9">
        <w:rPr>
          <w:rFonts w:ascii="Hind Light" w:eastAsia="Hind Light" w:hAnsi="Hind Light" w:cs="Hind Light"/>
          <w:sz w:val="20"/>
          <w:szCs w:val="20"/>
        </w:rPr>
        <w:t>and</w:t>
      </w:r>
      <w:r w:rsidR="00EF42B1" w:rsidRPr="004A17C9">
        <w:rPr>
          <w:rFonts w:ascii="Hind Light" w:eastAsia="Hind Light" w:hAnsi="Hind Light" w:cs="Hind Light"/>
          <w:sz w:val="20"/>
          <w:szCs w:val="20"/>
        </w:rPr>
        <w:t xml:space="preserve"> urge</w:t>
      </w:r>
      <w:r w:rsidRPr="004A17C9">
        <w:rPr>
          <w:rFonts w:ascii="Hind Light" w:eastAsia="Hind Light" w:hAnsi="Hind Light" w:cs="Hind Light"/>
          <w:sz w:val="20"/>
          <w:szCs w:val="20"/>
        </w:rPr>
        <w:t>s</w:t>
      </w:r>
      <w:r w:rsidR="00EF42B1" w:rsidRPr="004A17C9">
        <w:rPr>
          <w:rFonts w:ascii="Hind Light" w:eastAsia="Hind Light" w:hAnsi="Hind Light" w:cs="Hind Light"/>
          <w:sz w:val="20"/>
          <w:szCs w:val="20"/>
        </w:rPr>
        <w:t xml:space="preserve"> the European Commission to develop “mandatory staged requirements for security and privacy in the </w:t>
      </w:r>
      <w:r w:rsidR="00E110B9" w:rsidRPr="004A17C9">
        <w:rPr>
          <w:rFonts w:ascii="Hind Light" w:eastAsia="Hind Light" w:hAnsi="Hind Light" w:cs="Hind Light"/>
          <w:sz w:val="20"/>
          <w:szCs w:val="20"/>
        </w:rPr>
        <w:t>Internet</w:t>
      </w:r>
      <w:r w:rsidR="00EF42B1" w:rsidRPr="004A17C9">
        <w:rPr>
          <w:rFonts w:ascii="Hind Light" w:eastAsia="Hind Light" w:hAnsi="Hind Light" w:cs="Hind Light"/>
          <w:sz w:val="20"/>
          <w:szCs w:val="20"/>
        </w:rPr>
        <w:t xml:space="preserve"> of Things” including connected devices and services. </w:t>
      </w:r>
    </w:p>
    <w:p w14:paraId="53EDED09" w14:textId="77777777" w:rsidR="00361712" w:rsidRPr="004A17C9" w:rsidRDefault="00EF42B1" w:rsidP="00EF42B1">
      <w:pPr>
        <w:pStyle w:val="Pardeliste"/>
        <w:numPr>
          <w:ilvl w:val="0"/>
          <w:numId w:val="42"/>
        </w:numPr>
        <w:spacing w:line="280" w:lineRule="exact"/>
        <w:jc w:val="both"/>
        <w:rPr>
          <w:rFonts w:ascii="Hind Light" w:eastAsia="Hind Light" w:hAnsi="Hind Light" w:cs="Hind Light"/>
          <w:b/>
          <w:sz w:val="20"/>
          <w:szCs w:val="20"/>
        </w:rPr>
      </w:pPr>
      <w:r w:rsidRPr="004A17C9">
        <w:rPr>
          <w:rFonts w:ascii="Hind Light" w:eastAsia="Hind Light" w:hAnsi="Hind Light" w:cs="Hind Light"/>
          <w:sz w:val="20"/>
          <w:szCs w:val="20"/>
        </w:rPr>
        <w:t xml:space="preserve">The signatories </w:t>
      </w:r>
      <w:r w:rsidR="0087487F" w:rsidRPr="004A17C9">
        <w:rPr>
          <w:rFonts w:ascii="Hind Light" w:eastAsia="Hind Light" w:hAnsi="Hind Light" w:cs="Hind Light"/>
          <w:sz w:val="20"/>
          <w:szCs w:val="20"/>
        </w:rPr>
        <w:t>support</w:t>
      </w:r>
      <w:r w:rsidRPr="004A17C9">
        <w:rPr>
          <w:rFonts w:ascii="Hind Light" w:eastAsia="Hind Light" w:hAnsi="Hind Light" w:cs="Hind Light"/>
          <w:sz w:val="20"/>
          <w:szCs w:val="20"/>
        </w:rPr>
        <w:t xml:space="preserve"> the introduction of a</w:t>
      </w:r>
      <w:r w:rsidR="0087487F" w:rsidRPr="004A17C9">
        <w:rPr>
          <w:rFonts w:ascii="Hind Light" w:eastAsia="Hind Light" w:hAnsi="Hind Light" w:cs="Hind Light"/>
          <w:sz w:val="20"/>
          <w:szCs w:val="20"/>
        </w:rPr>
        <w:t>n</w:t>
      </w:r>
      <w:r w:rsidRPr="004A17C9">
        <w:rPr>
          <w:rFonts w:ascii="Hind Light" w:eastAsia="Hind Light" w:hAnsi="Hind Light" w:cs="Hind Light"/>
          <w:sz w:val="20"/>
          <w:szCs w:val="20"/>
        </w:rPr>
        <w:t xml:space="preserve"> EU Trust Label as they argue </w:t>
      </w:r>
      <w:r w:rsidR="0087487F" w:rsidRPr="004A17C9">
        <w:rPr>
          <w:rFonts w:ascii="Hind Light" w:eastAsia="Hind Light" w:hAnsi="Hind Light" w:cs="Hind Light"/>
          <w:sz w:val="20"/>
          <w:szCs w:val="20"/>
        </w:rPr>
        <w:t xml:space="preserve">that </w:t>
      </w:r>
      <w:r w:rsidRPr="004A17C9">
        <w:rPr>
          <w:rFonts w:ascii="Hind Light" w:eastAsia="Hind Light" w:hAnsi="Hind Light" w:cs="Hind Light"/>
          <w:sz w:val="20"/>
          <w:szCs w:val="20"/>
        </w:rPr>
        <w:t xml:space="preserve">self-regulation failed. Some other big tech players disagree with this position: Google, Microsoft and Cisco, represented by </w:t>
      </w:r>
      <w:r w:rsidR="00E110B9" w:rsidRPr="004A17C9">
        <w:rPr>
          <w:rFonts w:ascii="Hind Light" w:eastAsia="Hind Light" w:hAnsi="Hind Light" w:cs="Hind Light"/>
          <w:sz w:val="20"/>
          <w:szCs w:val="20"/>
        </w:rPr>
        <w:t>DIGITALEUROPE</w:t>
      </w:r>
      <w:r w:rsidRPr="004A17C9">
        <w:rPr>
          <w:rFonts w:ascii="Hind Light" w:eastAsia="Hind Light" w:hAnsi="Hind Light" w:cs="Hind Light"/>
          <w:sz w:val="20"/>
          <w:szCs w:val="20"/>
        </w:rPr>
        <w:t>, believe having voluntary standards is the best option. The European Commission has not taken a position on the matter.</w:t>
      </w:r>
      <w:r w:rsidR="00361712" w:rsidRPr="004A17C9">
        <w:rPr>
          <w:rFonts w:ascii="Hind Light" w:eastAsia="Hind Light" w:hAnsi="Hind Light" w:cs="Hind Light"/>
          <w:sz w:val="20"/>
          <w:szCs w:val="20"/>
        </w:rPr>
        <w:t xml:space="preserve"> </w:t>
      </w:r>
    </w:p>
    <w:p w14:paraId="69AB54F3" w14:textId="77777777" w:rsidR="00361712" w:rsidRPr="004A17C9" w:rsidRDefault="00361712" w:rsidP="00361712">
      <w:pPr>
        <w:pStyle w:val="Pardeliste"/>
        <w:spacing w:line="280" w:lineRule="exact"/>
        <w:jc w:val="both"/>
        <w:rPr>
          <w:rFonts w:ascii="Hind Light" w:eastAsia="Hind Light" w:hAnsi="Hind Light" w:cs="Hind Light"/>
          <w:b/>
          <w:sz w:val="20"/>
          <w:szCs w:val="20"/>
        </w:rPr>
      </w:pPr>
    </w:p>
    <w:p w14:paraId="6CE6DEF8" w14:textId="77777777" w:rsidR="00657B87" w:rsidRPr="004A17C9" w:rsidRDefault="005F306F" w:rsidP="00657B87">
      <w:pPr>
        <w:spacing w:line="280" w:lineRule="exact"/>
        <w:jc w:val="both"/>
        <w:rPr>
          <w:rFonts w:ascii="Hind Light" w:eastAsia="Hind Light" w:hAnsi="Hind Light" w:cs="Hind Light"/>
          <w:b/>
          <w:sz w:val="20"/>
          <w:szCs w:val="20"/>
        </w:rPr>
      </w:pPr>
      <w:r w:rsidRPr="004A17C9">
        <w:rPr>
          <w:rFonts w:ascii="Hind Light" w:eastAsia="Hind Light" w:hAnsi="Hind Light" w:cs="Hind Light"/>
          <w:b/>
          <w:sz w:val="20"/>
          <w:szCs w:val="20"/>
        </w:rPr>
        <w:t>Germany</w:t>
      </w:r>
      <w:r w:rsidR="00657B87" w:rsidRPr="004A17C9">
        <w:rPr>
          <w:rFonts w:ascii="Hind Light" w:eastAsia="Hind Light" w:hAnsi="Hind Light" w:cs="Hind Light"/>
          <w:b/>
          <w:sz w:val="20"/>
          <w:szCs w:val="20"/>
        </w:rPr>
        <w:t xml:space="preserve">: </w:t>
      </w:r>
      <w:r w:rsidRPr="004A17C9">
        <w:rPr>
          <w:rFonts w:ascii="Hind Light" w:eastAsia="Hind Light" w:hAnsi="Hind Light" w:cs="Hind Light"/>
          <w:b/>
          <w:sz w:val="20"/>
          <w:szCs w:val="20"/>
        </w:rPr>
        <w:t>Germany takes serious action against cybercrime</w:t>
      </w:r>
    </w:p>
    <w:p w14:paraId="7004B120" w14:textId="77777777" w:rsidR="00331FED" w:rsidRPr="004A17C9" w:rsidRDefault="005F306F" w:rsidP="005F306F">
      <w:pPr>
        <w:pStyle w:val="Pardeliste"/>
        <w:numPr>
          <w:ilvl w:val="0"/>
          <w:numId w:val="38"/>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Germany’s army </w:t>
      </w:r>
      <w:hyperlink r:id="rId20" w:history="1">
        <w:r w:rsidRPr="004A17C9">
          <w:rPr>
            <w:rStyle w:val="Lienhypertexte"/>
            <w:rFonts w:ascii="Hind Light" w:eastAsia="Hind Light" w:hAnsi="Hind Light" w:cs="Hind Light"/>
            <w:sz w:val="20"/>
            <w:szCs w:val="20"/>
          </w:rPr>
          <w:t>launched</w:t>
        </w:r>
      </w:hyperlink>
      <w:r w:rsidRPr="004A17C9">
        <w:rPr>
          <w:rFonts w:ascii="Hind Light" w:eastAsia="Hind Light" w:hAnsi="Hind Light" w:cs="Hind Light"/>
          <w:sz w:val="20"/>
          <w:szCs w:val="20"/>
        </w:rPr>
        <w:t xml:space="preserve"> a new command of 13,500 soon-to-be cyber soldiers and contractors. At the same time, the interior ministry opened a cyber unit in Munich where 400 people will be hired to develop tools to decode encryption and work on how to strike back during cyberattacks</w:t>
      </w:r>
      <w:r w:rsidR="00FE663C" w:rsidRPr="004A17C9">
        <w:rPr>
          <w:rFonts w:ascii="Hind Light" w:eastAsia="Hind Light" w:hAnsi="Hind Light" w:cs="Hind Light"/>
          <w:sz w:val="20"/>
          <w:szCs w:val="20"/>
        </w:rPr>
        <w:t xml:space="preserve">. </w:t>
      </w:r>
    </w:p>
    <w:p w14:paraId="7F0BFB27" w14:textId="77777777" w:rsidR="00FE663C" w:rsidRPr="004A17C9" w:rsidRDefault="005F306F" w:rsidP="005F306F">
      <w:pPr>
        <w:pStyle w:val="Pardeliste"/>
        <w:numPr>
          <w:ilvl w:val="0"/>
          <w:numId w:val="38"/>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The threat of cyberattacks has intensified in recent years and, according to officials, German companies suffer an estimated €50 billion in damages every year. Recognising the urgency of the issue, and fearing hacks on public institutions and espionage, Angela Merkel has affirmed the creation of a legal framework for “computer network operations” (“hacking back”) is a priority for the country. The German Security Council </w:t>
      </w:r>
      <w:hyperlink r:id="rId21" w:history="1">
        <w:r w:rsidRPr="004A17C9">
          <w:rPr>
            <w:rStyle w:val="Lienhypertexte"/>
            <w:rFonts w:ascii="Hind Light" w:eastAsia="Hind Light" w:hAnsi="Hind Light" w:cs="Hind Light"/>
            <w:sz w:val="20"/>
            <w:szCs w:val="20"/>
          </w:rPr>
          <w:t>commissioned two analyses</w:t>
        </w:r>
      </w:hyperlink>
      <w:r w:rsidRPr="004A17C9">
        <w:rPr>
          <w:rFonts w:ascii="Hind Light" w:eastAsia="Hind Light" w:hAnsi="Hind Light" w:cs="Hind Light"/>
          <w:sz w:val="20"/>
          <w:szCs w:val="20"/>
        </w:rPr>
        <w:t xml:space="preserve"> on how to develop a legislation proposal on this.</w:t>
      </w:r>
    </w:p>
    <w:p w14:paraId="09AF01FB" w14:textId="77777777" w:rsidR="00D11470" w:rsidRPr="004A17C9" w:rsidRDefault="00044321" w:rsidP="00D11470">
      <w:pPr>
        <w:spacing w:line="280" w:lineRule="exact"/>
        <w:jc w:val="both"/>
        <w:rPr>
          <w:rFonts w:ascii="Hind Light" w:eastAsia="Hind Light" w:hAnsi="Hind Light" w:cs="Hind Light"/>
          <w:b/>
          <w:sz w:val="20"/>
          <w:szCs w:val="20"/>
        </w:rPr>
      </w:pPr>
      <w:r w:rsidRPr="004A17C9">
        <w:rPr>
          <w:rFonts w:ascii="Hind Light" w:eastAsia="Hind Light" w:hAnsi="Hind Light" w:cs="Hind Light"/>
          <w:b/>
          <w:sz w:val="20"/>
          <w:szCs w:val="20"/>
        </w:rPr>
        <w:t>EU</w:t>
      </w:r>
      <w:r w:rsidR="00D11470" w:rsidRPr="004A17C9">
        <w:rPr>
          <w:rFonts w:ascii="Hind Light" w:eastAsia="Hind Light" w:hAnsi="Hind Light" w:cs="Hind Light"/>
          <w:b/>
          <w:sz w:val="20"/>
          <w:szCs w:val="20"/>
        </w:rPr>
        <w:t xml:space="preserve">: </w:t>
      </w:r>
      <w:r w:rsidRPr="004A17C9">
        <w:rPr>
          <w:rFonts w:ascii="Hind Light" w:eastAsia="Hind Light" w:hAnsi="Hind Light" w:cs="Hind Light"/>
          <w:b/>
          <w:sz w:val="20"/>
          <w:szCs w:val="20"/>
        </w:rPr>
        <w:t>Summary of the 3rd meeting of the Network and Information Systems Security Committee published</w:t>
      </w:r>
    </w:p>
    <w:p w14:paraId="19EBA293" w14:textId="77777777" w:rsidR="00D11470" w:rsidRPr="004A17C9" w:rsidRDefault="00044321" w:rsidP="00044321">
      <w:pPr>
        <w:pStyle w:val="Pardeliste"/>
        <w:numPr>
          <w:ilvl w:val="0"/>
          <w:numId w:val="38"/>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The Network and Information Systems Security Committee met on April 6 to discuss </w:t>
      </w:r>
      <w:r w:rsidR="00486078" w:rsidRPr="004A17C9">
        <w:rPr>
          <w:rFonts w:ascii="Hind Light" w:eastAsia="Hind Light" w:hAnsi="Hind Light" w:cs="Hind Light"/>
          <w:sz w:val="20"/>
          <w:szCs w:val="20"/>
        </w:rPr>
        <w:t>a</w:t>
      </w:r>
      <w:r w:rsidRPr="004A17C9">
        <w:rPr>
          <w:rFonts w:ascii="Hind Light" w:eastAsia="Hind Light" w:hAnsi="Hind Light" w:cs="Hind Light"/>
          <w:sz w:val="20"/>
          <w:szCs w:val="20"/>
        </w:rPr>
        <w:t xml:space="preserve"> </w:t>
      </w:r>
      <w:hyperlink r:id="rId22" w:history="1">
        <w:r w:rsidRPr="004A17C9">
          <w:rPr>
            <w:rStyle w:val="Lienhypertexte"/>
            <w:rFonts w:ascii="Hind Light" w:eastAsia="Hind Light" w:hAnsi="Hind Light" w:cs="Hind Light"/>
            <w:sz w:val="20"/>
            <w:szCs w:val="20"/>
          </w:rPr>
          <w:t>non-paper</w:t>
        </w:r>
      </w:hyperlink>
      <w:r w:rsidRPr="004A17C9">
        <w:rPr>
          <w:rFonts w:ascii="Hind Light" w:eastAsia="Hind Light" w:hAnsi="Hind Light" w:cs="Hind Light"/>
          <w:sz w:val="20"/>
          <w:szCs w:val="20"/>
        </w:rPr>
        <w:t xml:space="preserve"> on further specification of elements and parameters related to the security and incident notification requirements for digital service providers. A </w:t>
      </w:r>
      <w:hyperlink r:id="rId23" w:history="1">
        <w:r w:rsidRPr="004A17C9">
          <w:rPr>
            <w:rStyle w:val="Lienhypertexte"/>
            <w:rFonts w:ascii="Hind Light" w:eastAsia="Hind Light" w:hAnsi="Hind Light" w:cs="Hind Light"/>
            <w:sz w:val="20"/>
            <w:szCs w:val="20"/>
          </w:rPr>
          <w:t>summary record</w:t>
        </w:r>
      </w:hyperlink>
      <w:r w:rsidRPr="004A17C9">
        <w:rPr>
          <w:rFonts w:ascii="Hind Light" w:eastAsia="Hind Light" w:hAnsi="Hind Light" w:cs="Hind Light"/>
          <w:sz w:val="20"/>
          <w:szCs w:val="20"/>
        </w:rPr>
        <w:t xml:space="preserve"> of the meeting was recently published</w:t>
      </w:r>
      <w:r w:rsidR="00D11470" w:rsidRPr="004A17C9">
        <w:rPr>
          <w:rFonts w:ascii="Hind Light" w:eastAsia="Hind Light" w:hAnsi="Hind Light" w:cs="Hind Light"/>
          <w:sz w:val="20"/>
          <w:szCs w:val="20"/>
        </w:rPr>
        <w:t xml:space="preserve">. </w:t>
      </w:r>
    </w:p>
    <w:p w14:paraId="7FC89134" w14:textId="77777777" w:rsidR="00D11470" w:rsidRPr="004A17C9" w:rsidRDefault="007F387A" w:rsidP="007F387A">
      <w:pPr>
        <w:pStyle w:val="Pardeliste"/>
        <w:numPr>
          <w:ilvl w:val="0"/>
          <w:numId w:val="38"/>
        </w:numPr>
        <w:tabs>
          <w:tab w:val="left" w:pos="916"/>
        </w:tabs>
        <w:spacing w:after="200" w:line="280" w:lineRule="exact"/>
        <w:jc w:val="both"/>
        <w:rPr>
          <w:rFonts w:ascii="Hind Light" w:eastAsia="Hind Light" w:hAnsi="Hind Light" w:cs="Hind Light"/>
          <w:sz w:val="20"/>
          <w:szCs w:val="20"/>
        </w:rPr>
      </w:pPr>
      <w:r w:rsidRPr="004A17C9">
        <w:rPr>
          <w:rFonts w:ascii="Hind Light" w:eastAsia="Hind Light" w:hAnsi="Hind Light" w:cs="Hind Light"/>
          <w:sz w:val="20"/>
          <w:szCs w:val="20"/>
        </w:rPr>
        <w:t xml:space="preserve">The committee members discussed the input that European Commission received from the industry and national experts during </w:t>
      </w:r>
      <w:r w:rsidR="00486078" w:rsidRPr="004A17C9">
        <w:rPr>
          <w:rFonts w:ascii="Hind Light" w:eastAsia="Hind Light" w:hAnsi="Hind Light" w:cs="Hind Light"/>
          <w:sz w:val="20"/>
          <w:szCs w:val="20"/>
        </w:rPr>
        <w:t xml:space="preserve">a </w:t>
      </w:r>
      <w:r w:rsidRPr="004A17C9">
        <w:rPr>
          <w:rFonts w:ascii="Hind Light" w:eastAsia="Hind Light" w:hAnsi="Hind Light" w:cs="Hind Light"/>
          <w:sz w:val="20"/>
          <w:szCs w:val="20"/>
        </w:rPr>
        <w:t xml:space="preserve">NIS expert group meeting on March 15 and </w:t>
      </w:r>
      <w:r w:rsidR="00486078" w:rsidRPr="004A17C9">
        <w:rPr>
          <w:rFonts w:ascii="Hind Light" w:eastAsia="Hind Light" w:hAnsi="Hind Light" w:cs="Hind Light"/>
          <w:sz w:val="20"/>
          <w:szCs w:val="20"/>
        </w:rPr>
        <w:t xml:space="preserve">a </w:t>
      </w:r>
      <w:r w:rsidRPr="004A17C9">
        <w:rPr>
          <w:rFonts w:ascii="Hind Light" w:eastAsia="Hind Light" w:hAnsi="Hind Light" w:cs="Hind Light"/>
          <w:sz w:val="20"/>
          <w:szCs w:val="20"/>
        </w:rPr>
        <w:t>workshop with the private sector on March 27 2017. The committee members discussed the level of detail on the security and notification requirements that need to be reflected</w:t>
      </w:r>
      <w:r w:rsidR="005135E2" w:rsidRPr="004A17C9">
        <w:rPr>
          <w:rFonts w:ascii="Hind Light" w:eastAsia="Hind Light" w:hAnsi="Hind Light" w:cs="Hind Light"/>
          <w:sz w:val="20"/>
          <w:szCs w:val="20"/>
        </w:rPr>
        <w:t xml:space="preserve"> in the implementing act</w:t>
      </w:r>
      <w:r w:rsidRPr="004A17C9">
        <w:rPr>
          <w:rFonts w:ascii="Hind Light" w:eastAsia="Hind Light" w:hAnsi="Hind Light" w:cs="Hind Light"/>
          <w:sz w:val="20"/>
          <w:szCs w:val="20"/>
        </w:rPr>
        <w:t xml:space="preserve"> and will send written comments to the European Commission.</w:t>
      </w:r>
    </w:p>
    <w:p w14:paraId="4C7773BF" w14:textId="77777777" w:rsidR="005E19AF" w:rsidRPr="004A17C9" w:rsidRDefault="005E19AF" w:rsidP="005E19AF">
      <w:pPr>
        <w:spacing w:line="280" w:lineRule="exact"/>
        <w:jc w:val="both"/>
        <w:rPr>
          <w:rFonts w:ascii="Hind Light" w:eastAsia="Hind Light" w:hAnsi="Hind Light" w:cs="Hind Light"/>
          <w:sz w:val="20"/>
          <w:szCs w:val="20"/>
        </w:rPr>
      </w:pPr>
      <w:r w:rsidRPr="004A17C9">
        <w:rPr>
          <w:rFonts w:ascii="Hind Light" w:eastAsia="Hind Light" w:hAnsi="Hind Light" w:cs="Hind Light"/>
          <w:b/>
          <w:sz w:val="20"/>
          <w:szCs w:val="20"/>
        </w:rPr>
        <w:t>EU: European Defence Agency on EU cyber</w:t>
      </w:r>
      <w:r w:rsidR="00486078" w:rsidRPr="004A17C9">
        <w:rPr>
          <w:rFonts w:ascii="Hind Light" w:eastAsia="Hind Light" w:hAnsi="Hind Light" w:cs="Hind Light"/>
          <w:b/>
          <w:sz w:val="20"/>
          <w:szCs w:val="20"/>
        </w:rPr>
        <w:t xml:space="preserve"> </w:t>
      </w:r>
      <w:r w:rsidRPr="004A17C9">
        <w:rPr>
          <w:rFonts w:ascii="Hind Light" w:eastAsia="Hind Light" w:hAnsi="Hind Light" w:cs="Hind Light"/>
          <w:b/>
          <w:sz w:val="20"/>
          <w:szCs w:val="20"/>
        </w:rPr>
        <w:t>sector funding</w:t>
      </w:r>
    </w:p>
    <w:p w14:paraId="1DA049F8" w14:textId="77777777" w:rsidR="005E19AF" w:rsidRPr="004A17C9" w:rsidRDefault="005E19AF" w:rsidP="00486078">
      <w:pPr>
        <w:pStyle w:val="Pardeliste"/>
        <w:numPr>
          <w:ilvl w:val="0"/>
          <w:numId w:val="42"/>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The European Defence Agency (EDA) will </w:t>
      </w:r>
      <w:r w:rsidR="00486078" w:rsidRPr="004A17C9">
        <w:rPr>
          <w:rFonts w:ascii="Hind Light" w:eastAsia="Hind Light" w:hAnsi="Hind Light" w:cs="Hind Light"/>
          <w:sz w:val="20"/>
          <w:szCs w:val="20"/>
        </w:rPr>
        <w:t>launch next week a</w:t>
      </w:r>
      <w:r w:rsidRPr="004A17C9">
        <w:rPr>
          <w:rFonts w:ascii="Hind Light" w:eastAsia="Hind Light" w:hAnsi="Hind Light" w:cs="Hind Light"/>
          <w:sz w:val="20"/>
          <w:szCs w:val="20"/>
        </w:rPr>
        <w:t xml:space="preserve"> €90 million </w:t>
      </w:r>
      <w:hyperlink r:id="rId24" w:tgtFrame="_blank" w:history="1">
        <w:r w:rsidRPr="004A17C9">
          <w:rPr>
            <w:rStyle w:val="Lienhypertexte"/>
            <w:rFonts w:ascii="Hind Light" w:eastAsia="Hind Light" w:hAnsi="Hind Light" w:cs="Hind Light"/>
            <w:sz w:val="20"/>
            <w:szCs w:val="20"/>
          </w:rPr>
          <w:t>research program on defense</w:t>
        </w:r>
      </w:hyperlink>
      <w:r w:rsidR="00486078" w:rsidRPr="004A17C9">
        <w:rPr>
          <w:rFonts w:ascii="Hind Light" w:eastAsia="Hind Light" w:hAnsi="Hind Light" w:cs="Hind Light"/>
          <w:sz w:val="20"/>
          <w:szCs w:val="20"/>
        </w:rPr>
        <w:t xml:space="preserve">. This program will include funding </w:t>
      </w:r>
      <w:r w:rsidRPr="004A17C9">
        <w:rPr>
          <w:rFonts w:ascii="Hind Light" w:eastAsia="Hind Light" w:hAnsi="Hind Light" w:cs="Hind Light"/>
          <w:sz w:val="20"/>
          <w:szCs w:val="20"/>
        </w:rPr>
        <w:t>for cyber</w:t>
      </w:r>
      <w:r w:rsidR="00486078" w:rsidRPr="004A17C9">
        <w:rPr>
          <w:rFonts w:ascii="Hind Light" w:eastAsia="Hind Light" w:hAnsi="Hind Light" w:cs="Hind Light"/>
          <w:sz w:val="20"/>
          <w:szCs w:val="20"/>
        </w:rPr>
        <w:t xml:space="preserve"> </w:t>
      </w:r>
      <w:r w:rsidRPr="004A17C9">
        <w:rPr>
          <w:rFonts w:ascii="Hind Light" w:eastAsia="Hind Light" w:hAnsi="Hind Light" w:cs="Hind Light"/>
          <w:sz w:val="20"/>
          <w:szCs w:val="20"/>
        </w:rPr>
        <w:t>projects,</w:t>
      </w:r>
      <w:r w:rsidR="00486078" w:rsidRPr="004A17C9">
        <w:rPr>
          <w:rFonts w:ascii="Hind Light" w:eastAsia="Hind Light" w:hAnsi="Hind Light" w:cs="Hind Light"/>
          <w:sz w:val="20"/>
          <w:szCs w:val="20"/>
        </w:rPr>
        <w:t xml:space="preserve">. However, the EU is looking for ways to block non-European firms from accessing the funds it pours into cybersecurity technology. </w:t>
      </w:r>
    </w:p>
    <w:p w14:paraId="294271EE" w14:textId="77777777" w:rsidR="00276819" w:rsidRPr="004A17C9" w:rsidRDefault="005E19AF" w:rsidP="005E19AF">
      <w:pPr>
        <w:pStyle w:val="Pardeliste"/>
        <w:numPr>
          <w:ilvl w:val="0"/>
          <w:numId w:val="42"/>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Jorge Domecq, chief executive of the European Defence Agency (EDA), </w:t>
      </w:r>
      <w:r w:rsidR="00A55C51" w:rsidRPr="004A17C9">
        <w:rPr>
          <w:rFonts w:ascii="Hind Light" w:eastAsia="Hind Light" w:hAnsi="Hind Light" w:cs="Hind Light"/>
          <w:sz w:val="20"/>
          <w:szCs w:val="20"/>
        </w:rPr>
        <w:t xml:space="preserve">has reportedly claimed that </w:t>
      </w:r>
      <w:r w:rsidRPr="004A17C9">
        <w:rPr>
          <w:rFonts w:ascii="Hind Light" w:eastAsia="Hind Light" w:hAnsi="Hind Light" w:cs="Hind Light"/>
          <w:sz w:val="20"/>
          <w:szCs w:val="20"/>
        </w:rPr>
        <w:t xml:space="preserve">“no EU budget can be allocated to manage cyber-research outside of the EU”. He continued </w:t>
      </w:r>
      <w:r w:rsidR="00A55C51" w:rsidRPr="004A17C9">
        <w:rPr>
          <w:rFonts w:ascii="Hind Light" w:eastAsia="Hind Light" w:hAnsi="Hind Light" w:cs="Hind Light"/>
          <w:sz w:val="20"/>
          <w:szCs w:val="20"/>
        </w:rPr>
        <w:t xml:space="preserve">by </w:t>
      </w:r>
      <w:r w:rsidRPr="004A17C9">
        <w:rPr>
          <w:rFonts w:ascii="Hind Light" w:eastAsia="Hind Light" w:hAnsi="Hind Light" w:cs="Hind Light"/>
          <w:sz w:val="20"/>
          <w:szCs w:val="20"/>
        </w:rPr>
        <w:t xml:space="preserve">saying </w:t>
      </w:r>
      <w:r w:rsidR="00A55C51" w:rsidRPr="004A17C9">
        <w:rPr>
          <w:rFonts w:ascii="Hind Light" w:eastAsia="Hind Light" w:hAnsi="Hind Light" w:cs="Hind Light"/>
          <w:sz w:val="20"/>
          <w:szCs w:val="20"/>
        </w:rPr>
        <w:t xml:space="preserve">that </w:t>
      </w:r>
      <w:r w:rsidRPr="004A17C9">
        <w:rPr>
          <w:rFonts w:ascii="Hind Light" w:eastAsia="Hind Light" w:hAnsi="Hind Light" w:cs="Hind Light"/>
          <w:sz w:val="20"/>
          <w:szCs w:val="20"/>
        </w:rPr>
        <w:t>EU citizens would not want their money to be invested in this way.</w:t>
      </w:r>
    </w:p>
    <w:p w14:paraId="75199232" w14:textId="77777777" w:rsidR="005E19AF" w:rsidRPr="004A17C9" w:rsidRDefault="005E19AF" w:rsidP="005E19AF">
      <w:pPr>
        <w:spacing w:line="280" w:lineRule="exact"/>
        <w:jc w:val="both"/>
        <w:rPr>
          <w:rFonts w:ascii="Hind Light" w:eastAsia="Hind Light" w:hAnsi="Hind Light" w:cs="Hind Light"/>
          <w:sz w:val="20"/>
          <w:szCs w:val="20"/>
        </w:rPr>
      </w:pPr>
      <w:r w:rsidRPr="004A17C9">
        <w:rPr>
          <w:rFonts w:ascii="Hind Light" w:eastAsia="Hind Light" w:hAnsi="Hind Light" w:cs="Hind Light"/>
          <w:b/>
          <w:sz w:val="20"/>
          <w:szCs w:val="20"/>
        </w:rPr>
        <w:t xml:space="preserve">EU: </w:t>
      </w:r>
      <w:r w:rsidR="00DA539C" w:rsidRPr="004A17C9">
        <w:rPr>
          <w:rFonts w:ascii="Hind Light" w:eastAsia="Hind Light" w:hAnsi="Hind Light" w:cs="Hind Light"/>
          <w:b/>
          <w:sz w:val="20"/>
          <w:szCs w:val="20"/>
        </w:rPr>
        <w:t>Microsoft questioned over</w:t>
      </w:r>
      <w:r w:rsidR="003F7E8B" w:rsidRPr="004A17C9">
        <w:rPr>
          <w:rFonts w:ascii="Hind Light" w:eastAsia="Hind Light" w:hAnsi="Hind Light" w:cs="Hind Light"/>
          <w:b/>
          <w:sz w:val="20"/>
          <w:szCs w:val="20"/>
        </w:rPr>
        <w:t xml:space="preserve"> anti-virus tools and</w:t>
      </w:r>
      <w:r w:rsidR="00DA539C" w:rsidRPr="004A17C9">
        <w:rPr>
          <w:rFonts w:ascii="Hind Light" w:eastAsia="Hind Light" w:hAnsi="Hind Light" w:cs="Hind Light"/>
          <w:b/>
          <w:sz w:val="20"/>
          <w:szCs w:val="20"/>
        </w:rPr>
        <w:t xml:space="preserve"> </w:t>
      </w:r>
      <w:r w:rsidR="003F7E8B" w:rsidRPr="004A17C9">
        <w:rPr>
          <w:rFonts w:ascii="Hind Light" w:eastAsia="Hind Light" w:hAnsi="Hind Light" w:cs="Hind Light"/>
          <w:b/>
          <w:sz w:val="20"/>
          <w:szCs w:val="20"/>
        </w:rPr>
        <w:t xml:space="preserve">cybersecurity </w:t>
      </w:r>
      <w:r w:rsidR="00E7675C" w:rsidRPr="004A17C9">
        <w:rPr>
          <w:rFonts w:ascii="Hind Light" w:eastAsia="Hind Light" w:hAnsi="Hind Light" w:cs="Hind Light"/>
          <w:b/>
          <w:sz w:val="20"/>
          <w:szCs w:val="20"/>
        </w:rPr>
        <w:t>measures</w:t>
      </w:r>
    </w:p>
    <w:p w14:paraId="710A8717" w14:textId="77777777" w:rsidR="005E19AF" w:rsidRPr="004A17C9" w:rsidRDefault="00D37862" w:rsidP="00E7675C">
      <w:pPr>
        <w:pStyle w:val="Pardeliste"/>
        <w:numPr>
          <w:ilvl w:val="0"/>
          <w:numId w:val="42"/>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Microsoft is said to </w:t>
      </w:r>
      <w:r w:rsidR="00E7675C" w:rsidRPr="004A17C9">
        <w:rPr>
          <w:rFonts w:ascii="Hind Light" w:eastAsia="Hind Light" w:hAnsi="Hind Light" w:cs="Hind Light"/>
          <w:sz w:val="20"/>
          <w:szCs w:val="20"/>
        </w:rPr>
        <w:t xml:space="preserve">have used the rollout of Windows 10 to strengthen </w:t>
      </w:r>
      <w:r w:rsidRPr="004A17C9">
        <w:rPr>
          <w:rFonts w:ascii="Hind Light" w:eastAsia="Hind Light" w:hAnsi="Hind Light" w:cs="Hind Light"/>
          <w:sz w:val="20"/>
          <w:szCs w:val="20"/>
        </w:rPr>
        <w:t>its own cybersecurity</w:t>
      </w:r>
      <w:r w:rsidR="00E7675C" w:rsidRPr="004A17C9">
        <w:rPr>
          <w:rFonts w:ascii="Hind Light" w:eastAsia="Hind Light" w:hAnsi="Hind Light" w:cs="Hind Light"/>
          <w:sz w:val="20"/>
          <w:szCs w:val="20"/>
        </w:rPr>
        <w:t xml:space="preserve"> services</w:t>
      </w:r>
      <w:r w:rsidRPr="004A17C9">
        <w:rPr>
          <w:rFonts w:ascii="Hind Light" w:eastAsia="Hind Light" w:hAnsi="Hind Light" w:cs="Hind Light"/>
          <w:sz w:val="20"/>
          <w:szCs w:val="20"/>
        </w:rPr>
        <w:t xml:space="preserve"> while attempting to weaken those of </w:t>
      </w:r>
      <w:r w:rsidR="005E4C92" w:rsidRPr="004A17C9">
        <w:rPr>
          <w:rFonts w:ascii="Hind Light" w:eastAsia="Hind Light" w:hAnsi="Hind Light" w:cs="Hind Light"/>
          <w:sz w:val="20"/>
          <w:szCs w:val="20"/>
        </w:rPr>
        <w:t>others</w:t>
      </w:r>
      <w:r w:rsidR="005E19AF" w:rsidRPr="004A17C9">
        <w:rPr>
          <w:rFonts w:ascii="Hind Light" w:eastAsia="Hind Light" w:hAnsi="Hind Light" w:cs="Hind Light"/>
          <w:sz w:val="20"/>
          <w:szCs w:val="20"/>
        </w:rPr>
        <w:t>.</w:t>
      </w:r>
      <w:r w:rsidR="00E7675C" w:rsidRPr="004A17C9">
        <w:rPr>
          <w:rFonts w:ascii="Hind Light" w:eastAsia="Hind Light" w:hAnsi="Hind Light" w:cs="Hind Light"/>
          <w:sz w:val="20"/>
          <w:szCs w:val="20"/>
        </w:rPr>
        <w:t xml:space="preserve"> One complaint about Windows 10 is that it gives third-party security specific messaging guidelines, which don’t apply to its own Defender. Another is that it runs automatic background </w:t>
      </w:r>
      <w:r w:rsidR="00E7675C" w:rsidRPr="004A17C9">
        <w:rPr>
          <w:rFonts w:ascii="Hind Light" w:eastAsia="Hind Light" w:hAnsi="Hind Light" w:cs="Hind Light"/>
          <w:sz w:val="20"/>
          <w:szCs w:val="20"/>
        </w:rPr>
        <w:lastRenderedPageBreak/>
        <w:t xml:space="preserve">scans that </w:t>
      </w:r>
      <w:r w:rsidR="00A55C51" w:rsidRPr="004A17C9">
        <w:rPr>
          <w:rFonts w:ascii="Hind Light" w:eastAsia="Hind Light" w:hAnsi="Hind Light" w:cs="Hind Light"/>
          <w:sz w:val="20"/>
          <w:szCs w:val="20"/>
        </w:rPr>
        <w:t xml:space="preserve">cause </w:t>
      </w:r>
      <w:r w:rsidR="00E7675C" w:rsidRPr="004A17C9">
        <w:rPr>
          <w:rFonts w:ascii="Hind Light" w:eastAsia="Hind Light" w:hAnsi="Hind Light" w:cs="Hind Light"/>
          <w:sz w:val="20"/>
          <w:szCs w:val="20"/>
        </w:rPr>
        <w:t>users to un</w:t>
      </w:r>
      <w:r w:rsidR="005E4C92" w:rsidRPr="004A17C9">
        <w:rPr>
          <w:rFonts w:ascii="Hind Light" w:eastAsia="Hind Light" w:hAnsi="Hind Light" w:cs="Hind Light"/>
          <w:sz w:val="20"/>
          <w:szCs w:val="20"/>
        </w:rPr>
        <w:t xml:space="preserve">install Kaspersky, Avast or any other </w:t>
      </w:r>
      <w:r w:rsidR="00E7675C" w:rsidRPr="004A17C9">
        <w:rPr>
          <w:rFonts w:ascii="Hind Light" w:eastAsia="Hind Light" w:hAnsi="Hind Light" w:cs="Hind Light"/>
          <w:sz w:val="20"/>
          <w:szCs w:val="20"/>
        </w:rPr>
        <w:t>software and to i</w:t>
      </w:r>
      <w:r w:rsidR="00B27162" w:rsidRPr="004A17C9">
        <w:rPr>
          <w:rFonts w:ascii="Hind Light" w:eastAsia="Hind Light" w:hAnsi="Hind Light" w:cs="Hind Light"/>
          <w:sz w:val="20"/>
          <w:szCs w:val="20"/>
        </w:rPr>
        <w:t>nstall Microsoft’s own Defender instead.</w:t>
      </w:r>
    </w:p>
    <w:p w14:paraId="3BED722B" w14:textId="77777777" w:rsidR="00BB416C" w:rsidRPr="004A17C9" w:rsidRDefault="00BB416C" w:rsidP="00BB416C">
      <w:pPr>
        <w:pStyle w:val="Pardeliste"/>
        <w:numPr>
          <w:ilvl w:val="0"/>
          <w:numId w:val="42"/>
        </w:numPr>
        <w:tabs>
          <w:tab w:val="left" w:pos="916"/>
        </w:tabs>
        <w:spacing w:after="200" w:line="280" w:lineRule="exact"/>
        <w:jc w:val="both"/>
        <w:rPr>
          <w:rFonts w:ascii="Hind Light" w:hAnsi="Hind Light" w:cs="Hind Light"/>
          <w:sz w:val="20"/>
          <w:szCs w:val="20"/>
        </w:rPr>
      </w:pPr>
      <w:r w:rsidRPr="004A17C9">
        <w:rPr>
          <w:rFonts w:ascii="Hind Light" w:eastAsia="Hind Light" w:hAnsi="Hind Light" w:cs="Hind Light"/>
          <w:sz w:val="20"/>
          <w:szCs w:val="20"/>
        </w:rPr>
        <w:t xml:space="preserve">The allegation was made public by Eugene Kaspersky in a </w:t>
      </w:r>
      <w:hyperlink r:id="rId25" w:history="1">
        <w:r w:rsidRPr="004A17C9">
          <w:rPr>
            <w:rStyle w:val="Lienhypertexte"/>
            <w:rFonts w:ascii="Hind Light" w:eastAsia="Hind Light" w:hAnsi="Hind Light" w:cs="Hind Light"/>
            <w:sz w:val="20"/>
            <w:szCs w:val="20"/>
          </w:rPr>
          <w:t>blog</w:t>
        </w:r>
      </w:hyperlink>
      <w:r w:rsidRPr="004A17C9">
        <w:rPr>
          <w:rFonts w:ascii="Hind Light" w:eastAsia="Hind Light" w:hAnsi="Hind Light" w:cs="Hind Light"/>
          <w:sz w:val="20"/>
          <w:szCs w:val="20"/>
        </w:rPr>
        <w:t xml:space="preserve"> and in a complaint to the Russian competition authority. </w:t>
      </w:r>
      <w:r w:rsidR="00022F35" w:rsidRPr="004A17C9">
        <w:rPr>
          <w:rFonts w:ascii="Hind Light" w:eastAsia="Hind Light" w:hAnsi="Hind Light" w:cs="Hind Light"/>
          <w:sz w:val="20"/>
          <w:szCs w:val="20"/>
        </w:rPr>
        <w:t>A</w:t>
      </w:r>
      <w:r w:rsidRPr="004A17C9">
        <w:rPr>
          <w:rFonts w:ascii="Hind Light" w:eastAsia="Hind Light" w:hAnsi="Hind Light" w:cs="Hind Light"/>
          <w:sz w:val="20"/>
          <w:szCs w:val="20"/>
        </w:rPr>
        <w:t xml:space="preserve"> similar complaint </w:t>
      </w:r>
      <w:r w:rsidR="00022F35" w:rsidRPr="004A17C9">
        <w:rPr>
          <w:rFonts w:ascii="Hind Light" w:eastAsia="Hind Light" w:hAnsi="Hind Light" w:cs="Hind Light"/>
          <w:sz w:val="20"/>
          <w:szCs w:val="20"/>
        </w:rPr>
        <w:t>will</w:t>
      </w:r>
      <w:r w:rsidRPr="004A17C9">
        <w:rPr>
          <w:rFonts w:ascii="Hind Light" w:eastAsia="Hind Light" w:hAnsi="Hind Light" w:cs="Hind Light"/>
          <w:sz w:val="20"/>
          <w:szCs w:val="20"/>
        </w:rPr>
        <w:t xml:space="preserve"> be filed in Brussels.</w:t>
      </w:r>
    </w:p>
    <w:sectPr w:rsidR="00BB416C" w:rsidRPr="004A17C9" w:rsidSect="00CC5B49">
      <w:headerReference w:type="default" r:id="rId26"/>
      <w:footerReference w:type="default" r:id="rId27"/>
      <w:headerReference w:type="first" r:id="rId28"/>
      <w:footerReference w:type="first" r:id="rId29"/>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321B3E" w14:textId="77777777" w:rsidR="00CD7164" w:rsidRDefault="00CD7164" w:rsidP="0094598F">
      <w:r>
        <w:separator/>
      </w:r>
    </w:p>
  </w:endnote>
  <w:endnote w:type="continuationSeparator" w:id="0">
    <w:p w14:paraId="7A1EFF55" w14:textId="77777777" w:rsidR="00CD7164" w:rsidRDefault="00CD716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32E68"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5D0E684F" wp14:editId="0CC47B04">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r w:rsidRPr="00236E16">
      <w:t>internetsociety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2C464" w14:textId="77777777" w:rsidR="00CC5B49" w:rsidRDefault="00CC5B49">
    <w:pPr>
      <w:pStyle w:val="Pieddepage"/>
    </w:pPr>
    <w:r>
      <w:rPr>
        <w:rFonts w:ascii="Hind Medium" w:hAnsi="Hind Medium"/>
      </w:rPr>
      <w:t>I</w:t>
    </w:r>
    <w:r w:rsidRPr="00236E16">
      <w:rPr>
        <w:rFonts w:ascii="Hind Medium" w:hAnsi="Hind Medium"/>
      </w:rPr>
      <w:t>nternetsociety.org</w:t>
    </w:r>
    <w:r>
      <w:tab/>
    </w:r>
    <w:r w:rsidRPr="009F2B94">
      <w:t>@</w:t>
    </w:r>
    <w:r w:rsidRPr="00236E16">
      <w:t>internetsociety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C97F32" w14:textId="77777777" w:rsidR="00CD7164" w:rsidRDefault="00CD7164" w:rsidP="0094598F">
      <w:r>
        <w:separator/>
      </w:r>
    </w:p>
  </w:footnote>
  <w:footnote w:type="continuationSeparator" w:id="0">
    <w:p w14:paraId="0B645C6F" w14:textId="77777777" w:rsidR="00CD7164" w:rsidRDefault="00CD7164"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EDCD2"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32C0D">
      <w:rPr>
        <w:rStyle w:val="Numrodepage"/>
        <w:noProof/>
        <w:sz w:val="18"/>
        <w:szCs w:val="18"/>
      </w:rPr>
      <w:t>5</w:t>
    </w:r>
    <w:r w:rsidRPr="00E005F2">
      <w:rPr>
        <w:rStyle w:val="Numrodepage"/>
        <w:sz w:val="18"/>
        <w:szCs w:val="18"/>
      </w:rPr>
      <w:fldChar w:fldCharType="end"/>
    </w:r>
  </w:p>
  <w:p w14:paraId="091A1B71"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 xml:space="preserve">an Regional Bureau Newsletter: 19 May – 26 May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3AC2B3E0" w14:textId="77777777" w:rsidTr="00CC5B49">
      <w:trPr>
        <w:cantSplit/>
        <w:trHeight w:hRule="exact" w:val="1247"/>
      </w:trPr>
      <w:tc>
        <w:tcPr>
          <w:tcW w:w="10402" w:type="dxa"/>
          <w:shd w:val="clear" w:color="auto" w:fill="auto"/>
        </w:tcPr>
        <w:p w14:paraId="0D7ACACC" w14:textId="77777777" w:rsidR="00CC5B49" w:rsidRDefault="00CC5B49" w:rsidP="00CC5B49">
          <w:pPr>
            <w:pStyle w:val="Documenttitle"/>
          </w:pPr>
        </w:p>
      </w:tc>
    </w:tr>
    <w:tr w:rsidR="00CC5B49" w:rsidRPr="00E7106E" w14:paraId="546D12C8" w14:textId="77777777" w:rsidTr="00CC5B49">
      <w:trPr>
        <w:cantSplit/>
        <w:trHeight w:hRule="exact" w:val="3232"/>
      </w:trPr>
      <w:tc>
        <w:tcPr>
          <w:tcW w:w="10402" w:type="dxa"/>
          <w:shd w:val="clear" w:color="auto" w:fill="auto"/>
          <w:vAlign w:val="center"/>
        </w:tcPr>
        <w:p w14:paraId="5A7B61F4" w14:textId="77777777" w:rsidR="00CC5B49" w:rsidRDefault="00CC5B49" w:rsidP="00CC5B49">
          <w:pPr>
            <w:pStyle w:val="Documenttitle"/>
          </w:pPr>
          <w:r>
            <w:t xml:space="preserve">European </w:t>
          </w:r>
          <w:r w:rsidRPr="00E3372A">
            <w:t xml:space="preserve">Regional Bureau Newsletter </w:t>
          </w:r>
        </w:p>
        <w:p w14:paraId="4A69B5B7" w14:textId="77777777" w:rsidR="00CC5B49" w:rsidRPr="00E7106E" w:rsidRDefault="00CC5B49" w:rsidP="00CC5B49">
          <w:pPr>
            <w:pStyle w:val="Documenttitle"/>
          </w:pPr>
        </w:p>
      </w:tc>
    </w:tr>
    <w:tr w:rsidR="00CC5B49" w14:paraId="161A1F88" w14:textId="77777777" w:rsidTr="00CC5B49">
      <w:trPr>
        <w:cantSplit/>
        <w:trHeight w:hRule="exact" w:val="1134"/>
      </w:trPr>
      <w:tc>
        <w:tcPr>
          <w:tcW w:w="10402" w:type="dxa"/>
          <w:shd w:val="clear" w:color="auto" w:fill="auto"/>
        </w:tcPr>
        <w:p w14:paraId="01214DAD" w14:textId="77777777" w:rsidR="00CC5B49" w:rsidRDefault="00F16084" w:rsidP="00F16084">
          <w:pPr>
            <w:pStyle w:val="Coverdate"/>
            <w:rPr>
              <w:rStyle w:val="Lienhypertexte"/>
            </w:rPr>
          </w:pPr>
          <w:r>
            <w:t>19</w:t>
          </w:r>
          <w:r w:rsidR="009B45A4">
            <w:t xml:space="preserve"> May – </w:t>
          </w:r>
          <w:r w:rsidR="004A1A36">
            <w:t>2</w:t>
          </w:r>
          <w:r>
            <w:t>6</w:t>
          </w:r>
          <w:r w:rsidR="004A1A36">
            <w:t xml:space="preserve"> </w:t>
          </w:r>
          <w:r>
            <w:t>May</w:t>
          </w:r>
          <w:r w:rsidR="004A1A36">
            <w:t xml:space="preserve"> </w:t>
          </w:r>
          <w:r w:rsidR="00CC5B49" w:rsidRPr="00E3372A">
            <w:t>2017</w:t>
          </w:r>
          <w:r w:rsidR="00CC5B49" w:rsidRPr="00E3372A">
            <w:rPr>
              <w:b/>
            </w:rPr>
            <w:br/>
          </w:r>
          <w:hyperlink r:id="rId1" w:history="1">
            <w:r w:rsidR="00CC5B49" w:rsidRPr="00E3372A">
              <w:rPr>
                <w:rStyle w:val="Lienhypertexte"/>
              </w:rPr>
              <w:t>http://www.Internetsociety.org/what-we-do/where-we-work/europe</w:t>
            </w:r>
          </w:hyperlink>
        </w:p>
        <w:p w14:paraId="777672AC" w14:textId="75AD8BAF" w:rsidR="00C32C0D" w:rsidRDefault="00C32C0D" w:rsidP="00F16084">
          <w:pPr>
            <w:pStyle w:val="Coverdate"/>
          </w:pPr>
          <w:r>
            <w:rPr>
              <w:rStyle w:val="Lienhypertexte"/>
            </w:rPr>
            <w:t>Frédéric Donck (ERB)</w:t>
          </w:r>
        </w:p>
      </w:tc>
    </w:tr>
  </w:tbl>
  <w:p w14:paraId="03385F61"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68AFF389" wp14:editId="411EB99E">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683494"/>
    <w:multiLevelType w:val="hybridMultilevel"/>
    <w:tmpl w:val="8422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7B0FBE"/>
    <w:multiLevelType w:val="hybridMultilevel"/>
    <w:tmpl w:val="3072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2A6447"/>
    <w:multiLevelType w:val="hybridMultilevel"/>
    <w:tmpl w:val="8BC8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560BA4"/>
    <w:multiLevelType w:val="hybridMultilevel"/>
    <w:tmpl w:val="954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65456E"/>
    <w:multiLevelType w:val="hybridMultilevel"/>
    <w:tmpl w:val="C0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D84F50"/>
    <w:multiLevelType w:val="hybridMultilevel"/>
    <w:tmpl w:val="D3F8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4A0CB5"/>
    <w:multiLevelType w:val="hybridMultilevel"/>
    <w:tmpl w:val="4FE6C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AE51394"/>
    <w:multiLevelType w:val="hybridMultilevel"/>
    <w:tmpl w:val="AE48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457A5B"/>
    <w:multiLevelType w:val="hybridMultilevel"/>
    <w:tmpl w:val="9282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67F3F81"/>
    <w:multiLevelType w:val="hybridMultilevel"/>
    <w:tmpl w:val="EF1486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BA37D4A"/>
    <w:multiLevelType w:val="hybridMultilevel"/>
    <w:tmpl w:val="09765042"/>
    <w:lvl w:ilvl="0" w:tplc="7F6A8F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DF02B68"/>
    <w:multiLevelType w:val="hybridMultilevel"/>
    <w:tmpl w:val="BC9EA7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1E72322D"/>
    <w:multiLevelType w:val="hybridMultilevel"/>
    <w:tmpl w:val="69C66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22F16A4"/>
    <w:multiLevelType w:val="hybridMultilevel"/>
    <w:tmpl w:val="6EB4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8">
    <w:nsid w:val="24341658"/>
    <w:multiLevelType w:val="hybridMultilevel"/>
    <w:tmpl w:val="DABC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F20B23"/>
    <w:multiLevelType w:val="hybridMultilevel"/>
    <w:tmpl w:val="E3D2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B2973D7"/>
    <w:multiLevelType w:val="hybridMultilevel"/>
    <w:tmpl w:val="BAD4F5A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1">
    <w:nsid w:val="2E6062D9"/>
    <w:multiLevelType w:val="hybridMultilevel"/>
    <w:tmpl w:val="D8E8E9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26C1169"/>
    <w:multiLevelType w:val="hybridMultilevel"/>
    <w:tmpl w:val="29064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3587E3A"/>
    <w:multiLevelType w:val="hybridMultilevel"/>
    <w:tmpl w:val="BBAC4A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4E618C6"/>
    <w:multiLevelType w:val="hybridMultilevel"/>
    <w:tmpl w:val="2338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57A3561"/>
    <w:multiLevelType w:val="hybridMultilevel"/>
    <w:tmpl w:val="994C95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38E14599"/>
    <w:multiLevelType w:val="hybridMultilevel"/>
    <w:tmpl w:val="6DF27F5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7">
    <w:nsid w:val="3C5548DC"/>
    <w:multiLevelType w:val="hybridMultilevel"/>
    <w:tmpl w:val="AEE8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21D0C08"/>
    <w:multiLevelType w:val="hybridMultilevel"/>
    <w:tmpl w:val="5CB4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736202C"/>
    <w:multiLevelType w:val="hybridMultilevel"/>
    <w:tmpl w:val="C12689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7D44229"/>
    <w:multiLevelType w:val="hybridMultilevel"/>
    <w:tmpl w:val="D332CF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4A7F2923"/>
    <w:multiLevelType w:val="hybridMultilevel"/>
    <w:tmpl w:val="49ACAE6C"/>
    <w:lvl w:ilvl="0" w:tplc="DA988B9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D102F14"/>
    <w:multiLevelType w:val="hybridMultilevel"/>
    <w:tmpl w:val="C2C80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nsid w:val="50BA47DB"/>
    <w:multiLevelType w:val="hybridMultilevel"/>
    <w:tmpl w:val="B90A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28D3322"/>
    <w:multiLevelType w:val="hybridMultilevel"/>
    <w:tmpl w:val="C6B4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2EA1D9F"/>
    <w:multiLevelType w:val="hybridMultilevel"/>
    <w:tmpl w:val="293E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C5158AA"/>
    <w:multiLevelType w:val="hybridMultilevel"/>
    <w:tmpl w:val="6562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ED60B14"/>
    <w:multiLevelType w:val="hybridMultilevel"/>
    <w:tmpl w:val="83BE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FC13848"/>
    <w:multiLevelType w:val="hybridMultilevel"/>
    <w:tmpl w:val="D7F0A1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63685A32"/>
    <w:multiLevelType w:val="hybridMultilevel"/>
    <w:tmpl w:val="FBB6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52E685B"/>
    <w:multiLevelType w:val="hybridMultilevel"/>
    <w:tmpl w:val="4E22FBE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AD06CF0"/>
    <w:multiLevelType w:val="hybridMultilevel"/>
    <w:tmpl w:val="05E22E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nsid w:val="73DD39EC"/>
    <w:multiLevelType w:val="hybridMultilevel"/>
    <w:tmpl w:val="952C4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nsid w:val="75866075"/>
    <w:multiLevelType w:val="hybridMultilevel"/>
    <w:tmpl w:val="574A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5E70370"/>
    <w:multiLevelType w:val="hybridMultilevel"/>
    <w:tmpl w:val="FC70DC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nsid w:val="7838478F"/>
    <w:multiLevelType w:val="hybridMultilevel"/>
    <w:tmpl w:val="008E8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93E1C31"/>
    <w:multiLevelType w:val="hybridMultilevel"/>
    <w:tmpl w:val="8B48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14"/>
  </w:num>
  <w:num w:numId="4">
    <w:abstractNumId w:val="21"/>
  </w:num>
  <w:num w:numId="5">
    <w:abstractNumId w:val="12"/>
  </w:num>
  <w:num w:numId="6">
    <w:abstractNumId w:val="32"/>
  </w:num>
  <w:num w:numId="7">
    <w:abstractNumId w:val="29"/>
  </w:num>
  <w:num w:numId="8">
    <w:abstractNumId w:val="42"/>
  </w:num>
  <w:num w:numId="9">
    <w:abstractNumId w:val="30"/>
  </w:num>
  <w:num w:numId="10">
    <w:abstractNumId w:val="44"/>
  </w:num>
  <w:num w:numId="11">
    <w:abstractNumId w:val="41"/>
  </w:num>
  <w:num w:numId="12">
    <w:abstractNumId w:val="13"/>
  </w:num>
  <w:num w:numId="13">
    <w:abstractNumId w:val="0"/>
  </w:num>
  <w:num w:numId="14">
    <w:abstractNumId w:val="5"/>
  </w:num>
  <w:num w:numId="15">
    <w:abstractNumId w:val="46"/>
  </w:num>
  <w:num w:numId="16">
    <w:abstractNumId w:val="35"/>
  </w:num>
  <w:num w:numId="17">
    <w:abstractNumId w:val="15"/>
  </w:num>
  <w:num w:numId="18">
    <w:abstractNumId w:val="43"/>
  </w:num>
  <w:num w:numId="19">
    <w:abstractNumId w:val="27"/>
  </w:num>
  <w:num w:numId="20">
    <w:abstractNumId w:val="10"/>
  </w:num>
  <w:num w:numId="21">
    <w:abstractNumId w:val="17"/>
  </w:num>
  <w:num w:numId="22">
    <w:abstractNumId w:val="45"/>
  </w:num>
  <w:num w:numId="23">
    <w:abstractNumId w:val="16"/>
  </w:num>
  <w:num w:numId="24">
    <w:abstractNumId w:val="33"/>
  </w:num>
  <w:num w:numId="25">
    <w:abstractNumId w:val="11"/>
  </w:num>
  <w:num w:numId="26">
    <w:abstractNumId w:val="4"/>
  </w:num>
  <w:num w:numId="27">
    <w:abstractNumId w:val="36"/>
  </w:num>
  <w:num w:numId="28">
    <w:abstractNumId w:val="39"/>
  </w:num>
  <w:num w:numId="29">
    <w:abstractNumId w:val="1"/>
  </w:num>
  <w:num w:numId="30">
    <w:abstractNumId w:val="2"/>
  </w:num>
  <w:num w:numId="31">
    <w:abstractNumId w:val="19"/>
  </w:num>
  <w:num w:numId="32">
    <w:abstractNumId w:val="37"/>
  </w:num>
  <w:num w:numId="33">
    <w:abstractNumId w:val="28"/>
  </w:num>
  <w:num w:numId="34">
    <w:abstractNumId w:val="22"/>
  </w:num>
  <w:num w:numId="35">
    <w:abstractNumId w:val="8"/>
  </w:num>
  <w:num w:numId="36">
    <w:abstractNumId w:val="6"/>
  </w:num>
  <w:num w:numId="37">
    <w:abstractNumId w:val="3"/>
  </w:num>
  <w:num w:numId="38">
    <w:abstractNumId w:val="9"/>
  </w:num>
  <w:num w:numId="39">
    <w:abstractNumId w:val="24"/>
  </w:num>
  <w:num w:numId="40">
    <w:abstractNumId w:val="18"/>
  </w:num>
  <w:num w:numId="41">
    <w:abstractNumId w:val="7"/>
  </w:num>
  <w:num w:numId="42">
    <w:abstractNumId w:val="31"/>
  </w:num>
  <w:num w:numId="43">
    <w:abstractNumId w:val="20"/>
  </w:num>
  <w:num w:numId="44">
    <w:abstractNumId w:val="40"/>
  </w:num>
  <w:num w:numId="45">
    <w:abstractNumId w:val="38"/>
  </w:num>
  <w:num w:numId="46">
    <w:abstractNumId w:val="34"/>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6"/>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15392"/>
    <w:rsid w:val="00020775"/>
    <w:rsid w:val="00022F35"/>
    <w:rsid w:val="000277E6"/>
    <w:rsid w:val="000327B3"/>
    <w:rsid w:val="00044321"/>
    <w:rsid w:val="000606BD"/>
    <w:rsid w:val="0006295B"/>
    <w:rsid w:val="000714E8"/>
    <w:rsid w:val="00080624"/>
    <w:rsid w:val="000860A7"/>
    <w:rsid w:val="000B2930"/>
    <w:rsid w:val="000B58BD"/>
    <w:rsid w:val="000D020B"/>
    <w:rsid w:val="000D0220"/>
    <w:rsid w:val="000D3BBB"/>
    <w:rsid w:val="000E610B"/>
    <w:rsid w:val="00101BF0"/>
    <w:rsid w:val="00104331"/>
    <w:rsid w:val="001105A9"/>
    <w:rsid w:val="0011437C"/>
    <w:rsid w:val="00114604"/>
    <w:rsid w:val="00116678"/>
    <w:rsid w:val="00126EFE"/>
    <w:rsid w:val="00130376"/>
    <w:rsid w:val="00151164"/>
    <w:rsid w:val="00151E3C"/>
    <w:rsid w:val="00166A3C"/>
    <w:rsid w:val="00175C5A"/>
    <w:rsid w:val="00183664"/>
    <w:rsid w:val="00195FB3"/>
    <w:rsid w:val="00196634"/>
    <w:rsid w:val="001B7B89"/>
    <w:rsid w:val="001C1148"/>
    <w:rsid w:val="001D23AA"/>
    <w:rsid w:val="001D3021"/>
    <w:rsid w:val="00207D42"/>
    <w:rsid w:val="00236ABA"/>
    <w:rsid w:val="00247D79"/>
    <w:rsid w:val="0025340A"/>
    <w:rsid w:val="002562A7"/>
    <w:rsid w:val="00274EE7"/>
    <w:rsid w:val="00276819"/>
    <w:rsid w:val="00277FA9"/>
    <w:rsid w:val="002876B3"/>
    <w:rsid w:val="002877C5"/>
    <w:rsid w:val="002A28B4"/>
    <w:rsid w:val="002A52F1"/>
    <w:rsid w:val="002B7CCA"/>
    <w:rsid w:val="002C01F5"/>
    <w:rsid w:val="002C058E"/>
    <w:rsid w:val="002D2C74"/>
    <w:rsid w:val="002D4FA7"/>
    <w:rsid w:val="002D7F7E"/>
    <w:rsid w:val="002E237A"/>
    <w:rsid w:val="002E32F8"/>
    <w:rsid w:val="002E68ED"/>
    <w:rsid w:val="002F1725"/>
    <w:rsid w:val="002F5538"/>
    <w:rsid w:val="002F6A39"/>
    <w:rsid w:val="00300E21"/>
    <w:rsid w:val="00314222"/>
    <w:rsid w:val="0031771D"/>
    <w:rsid w:val="0031787A"/>
    <w:rsid w:val="003207C6"/>
    <w:rsid w:val="00322B44"/>
    <w:rsid w:val="0032458F"/>
    <w:rsid w:val="003309E6"/>
    <w:rsid w:val="00331FED"/>
    <w:rsid w:val="003435DA"/>
    <w:rsid w:val="00361712"/>
    <w:rsid w:val="00384498"/>
    <w:rsid w:val="00384ACA"/>
    <w:rsid w:val="003B0CAE"/>
    <w:rsid w:val="003C4003"/>
    <w:rsid w:val="003E30F0"/>
    <w:rsid w:val="003F41EA"/>
    <w:rsid w:val="003F7E8B"/>
    <w:rsid w:val="00405C29"/>
    <w:rsid w:val="004149FB"/>
    <w:rsid w:val="004162D8"/>
    <w:rsid w:val="004223B8"/>
    <w:rsid w:val="004259E0"/>
    <w:rsid w:val="00457ED3"/>
    <w:rsid w:val="00467EAD"/>
    <w:rsid w:val="004800BA"/>
    <w:rsid w:val="004827F4"/>
    <w:rsid w:val="00486078"/>
    <w:rsid w:val="004915DE"/>
    <w:rsid w:val="004A17C9"/>
    <w:rsid w:val="004A1A36"/>
    <w:rsid w:val="004B68C2"/>
    <w:rsid w:val="004E0379"/>
    <w:rsid w:val="004E1C17"/>
    <w:rsid w:val="004F138D"/>
    <w:rsid w:val="004F1AD2"/>
    <w:rsid w:val="004F5CFD"/>
    <w:rsid w:val="00510600"/>
    <w:rsid w:val="005126AF"/>
    <w:rsid w:val="00513108"/>
    <w:rsid w:val="005135E2"/>
    <w:rsid w:val="0051620C"/>
    <w:rsid w:val="00524E9C"/>
    <w:rsid w:val="00555DEA"/>
    <w:rsid w:val="00560E40"/>
    <w:rsid w:val="00564F6F"/>
    <w:rsid w:val="00566156"/>
    <w:rsid w:val="0057119A"/>
    <w:rsid w:val="005727AE"/>
    <w:rsid w:val="005832C5"/>
    <w:rsid w:val="00584D6D"/>
    <w:rsid w:val="00591005"/>
    <w:rsid w:val="005B1818"/>
    <w:rsid w:val="005B283B"/>
    <w:rsid w:val="005C5CAF"/>
    <w:rsid w:val="005D29E6"/>
    <w:rsid w:val="005D57C0"/>
    <w:rsid w:val="005D5808"/>
    <w:rsid w:val="005D78BE"/>
    <w:rsid w:val="005E19AF"/>
    <w:rsid w:val="005E39B3"/>
    <w:rsid w:val="005E4C92"/>
    <w:rsid w:val="005F306F"/>
    <w:rsid w:val="006102AE"/>
    <w:rsid w:val="006124E2"/>
    <w:rsid w:val="00613003"/>
    <w:rsid w:val="00622309"/>
    <w:rsid w:val="00630299"/>
    <w:rsid w:val="006307CD"/>
    <w:rsid w:val="006549E2"/>
    <w:rsid w:val="00657B87"/>
    <w:rsid w:val="006614D2"/>
    <w:rsid w:val="006647C2"/>
    <w:rsid w:val="006871AA"/>
    <w:rsid w:val="006C59B9"/>
    <w:rsid w:val="006D48A8"/>
    <w:rsid w:val="006D551A"/>
    <w:rsid w:val="006E0D66"/>
    <w:rsid w:val="006F2305"/>
    <w:rsid w:val="007077CF"/>
    <w:rsid w:val="00720952"/>
    <w:rsid w:val="00724D49"/>
    <w:rsid w:val="007346A2"/>
    <w:rsid w:val="00735F1A"/>
    <w:rsid w:val="0073718A"/>
    <w:rsid w:val="00741DC7"/>
    <w:rsid w:val="0074300D"/>
    <w:rsid w:val="00757BD0"/>
    <w:rsid w:val="007873ED"/>
    <w:rsid w:val="00796C62"/>
    <w:rsid w:val="007B3E3C"/>
    <w:rsid w:val="007D2C23"/>
    <w:rsid w:val="007F387A"/>
    <w:rsid w:val="007F7159"/>
    <w:rsid w:val="008054E3"/>
    <w:rsid w:val="00833124"/>
    <w:rsid w:val="0083766B"/>
    <w:rsid w:val="00845CC1"/>
    <w:rsid w:val="008615E2"/>
    <w:rsid w:val="008627C3"/>
    <w:rsid w:val="0087487F"/>
    <w:rsid w:val="00875612"/>
    <w:rsid w:val="00884201"/>
    <w:rsid w:val="008926EA"/>
    <w:rsid w:val="008A726F"/>
    <w:rsid w:val="008C6229"/>
    <w:rsid w:val="008C79BA"/>
    <w:rsid w:val="008D0989"/>
    <w:rsid w:val="008D5847"/>
    <w:rsid w:val="008D5DA9"/>
    <w:rsid w:val="008D6BB2"/>
    <w:rsid w:val="008E4ADC"/>
    <w:rsid w:val="008E56A6"/>
    <w:rsid w:val="00902253"/>
    <w:rsid w:val="00902EEB"/>
    <w:rsid w:val="00913A13"/>
    <w:rsid w:val="00933E41"/>
    <w:rsid w:val="00944BE8"/>
    <w:rsid w:val="0094598F"/>
    <w:rsid w:val="00951739"/>
    <w:rsid w:val="00966D7B"/>
    <w:rsid w:val="0098049A"/>
    <w:rsid w:val="009835A6"/>
    <w:rsid w:val="009870A6"/>
    <w:rsid w:val="009B0870"/>
    <w:rsid w:val="009B45A4"/>
    <w:rsid w:val="009B45E4"/>
    <w:rsid w:val="009D1655"/>
    <w:rsid w:val="009F2C60"/>
    <w:rsid w:val="009F326B"/>
    <w:rsid w:val="009F3C5E"/>
    <w:rsid w:val="009F445E"/>
    <w:rsid w:val="009F6587"/>
    <w:rsid w:val="009F7D8E"/>
    <w:rsid w:val="00A02E27"/>
    <w:rsid w:val="00A13251"/>
    <w:rsid w:val="00A178CE"/>
    <w:rsid w:val="00A333E8"/>
    <w:rsid w:val="00A4699C"/>
    <w:rsid w:val="00A51DD8"/>
    <w:rsid w:val="00A55C51"/>
    <w:rsid w:val="00A71452"/>
    <w:rsid w:val="00A746FA"/>
    <w:rsid w:val="00A8075B"/>
    <w:rsid w:val="00A921CE"/>
    <w:rsid w:val="00A956DC"/>
    <w:rsid w:val="00AA0EF6"/>
    <w:rsid w:val="00AB70BA"/>
    <w:rsid w:val="00AC0242"/>
    <w:rsid w:val="00AD0102"/>
    <w:rsid w:val="00AD14A5"/>
    <w:rsid w:val="00AD3961"/>
    <w:rsid w:val="00AE4A18"/>
    <w:rsid w:val="00AE6432"/>
    <w:rsid w:val="00B2581C"/>
    <w:rsid w:val="00B259EA"/>
    <w:rsid w:val="00B27162"/>
    <w:rsid w:val="00B31ABF"/>
    <w:rsid w:val="00B32D7E"/>
    <w:rsid w:val="00B42D5C"/>
    <w:rsid w:val="00B43EBC"/>
    <w:rsid w:val="00B449CA"/>
    <w:rsid w:val="00B47A74"/>
    <w:rsid w:val="00B60C21"/>
    <w:rsid w:val="00B616E6"/>
    <w:rsid w:val="00BA1292"/>
    <w:rsid w:val="00BA36F2"/>
    <w:rsid w:val="00BB416C"/>
    <w:rsid w:val="00BB6F4A"/>
    <w:rsid w:val="00BE212E"/>
    <w:rsid w:val="00BF55D6"/>
    <w:rsid w:val="00C11FE3"/>
    <w:rsid w:val="00C24734"/>
    <w:rsid w:val="00C32C0D"/>
    <w:rsid w:val="00C33A82"/>
    <w:rsid w:val="00C359E2"/>
    <w:rsid w:val="00C631A8"/>
    <w:rsid w:val="00C76769"/>
    <w:rsid w:val="00C816F0"/>
    <w:rsid w:val="00C81FC4"/>
    <w:rsid w:val="00C822D8"/>
    <w:rsid w:val="00C83CED"/>
    <w:rsid w:val="00C90BFE"/>
    <w:rsid w:val="00CB271E"/>
    <w:rsid w:val="00CC5B49"/>
    <w:rsid w:val="00CD6FEC"/>
    <w:rsid w:val="00CD7164"/>
    <w:rsid w:val="00CD7F43"/>
    <w:rsid w:val="00CE362F"/>
    <w:rsid w:val="00CF1E55"/>
    <w:rsid w:val="00D11470"/>
    <w:rsid w:val="00D12CC8"/>
    <w:rsid w:val="00D37862"/>
    <w:rsid w:val="00D4715F"/>
    <w:rsid w:val="00D5071F"/>
    <w:rsid w:val="00D513A1"/>
    <w:rsid w:val="00D565E1"/>
    <w:rsid w:val="00D60E04"/>
    <w:rsid w:val="00D673ED"/>
    <w:rsid w:val="00D77A6A"/>
    <w:rsid w:val="00D87B06"/>
    <w:rsid w:val="00D92FD0"/>
    <w:rsid w:val="00D94960"/>
    <w:rsid w:val="00DA0B45"/>
    <w:rsid w:val="00DA0BB7"/>
    <w:rsid w:val="00DA2122"/>
    <w:rsid w:val="00DA539C"/>
    <w:rsid w:val="00DA6BE1"/>
    <w:rsid w:val="00DC38D1"/>
    <w:rsid w:val="00DD3B3E"/>
    <w:rsid w:val="00DF1E5A"/>
    <w:rsid w:val="00E075E4"/>
    <w:rsid w:val="00E110B9"/>
    <w:rsid w:val="00E16239"/>
    <w:rsid w:val="00E21973"/>
    <w:rsid w:val="00E23949"/>
    <w:rsid w:val="00E26DC4"/>
    <w:rsid w:val="00E34DC8"/>
    <w:rsid w:val="00E7675C"/>
    <w:rsid w:val="00E76885"/>
    <w:rsid w:val="00E84C90"/>
    <w:rsid w:val="00E929FE"/>
    <w:rsid w:val="00E96DAB"/>
    <w:rsid w:val="00EF42B1"/>
    <w:rsid w:val="00F00ED5"/>
    <w:rsid w:val="00F07CDC"/>
    <w:rsid w:val="00F10892"/>
    <w:rsid w:val="00F16084"/>
    <w:rsid w:val="00F22516"/>
    <w:rsid w:val="00F229D1"/>
    <w:rsid w:val="00F24D5B"/>
    <w:rsid w:val="00F37E8A"/>
    <w:rsid w:val="00F546C9"/>
    <w:rsid w:val="00F561C4"/>
    <w:rsid w:val="00F63BB5"/>
    <w:rsid w:val="00F678C3"/>
    <w:rsid w:val="00F818FA"/>
    <w:rsid w:val="00F83989"/>
    <w:rsid w:val="00F91535"/>
    <w:rsid w:val="00F93C22"/>
    <w:rsid w:val="00FA24A8"/>
    <w:rsid w:val="00FA469F"/>
    <w:rsid w:val="00FA779F"/>
    <w:rsid w:val="00FB6BF7"/>
    <w:rsid w:val="00FB7ECE"/>
    <w:rsid w:val="00FD65F9"/>
    <w:rsid w:val="00FE663C"/>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6008A"/>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3"/>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politico.us8.list-manage1.com/track/click?u=e26c1a1c392386a968d02fdbc&amp;id=178fbaa5ab&amp;e=503801d566" TargetMode="External"/><Relationship Id="rId20" Type="http://schemas.openxmlformats.org/officeDocument/2006/relationships/hyperlink" Target="http://www.politico.eu/article/great-german-hack-back-cyber-troops-digital-attacks/" TargetMode="External"/><Relationship Id="rId21" Type="http://schemas.openxmlformats.org/officeDocument/2006/relationships/hyperlink" Target="http://www.sueddeutsche.de/digital/it-sicherheit-wie-die-regierung-gegen-hacker-zurueck-hacken-will-1.3469456?utm_source=POLITICO.EU&amp;utm_campaign=e40d70757e-EMAIL_CAMPAIGN_2017_05_22&amp;utm_medium=email&amp;utm_term=0_10959edeb5-e40d70757e-189644601" TargetMode="External"/><Relationship Id="rId22" Type="http://schemas.openxmlformats.org/officeDocument/2006/relationships/hyperlink" Target="http://ec.europa.eu/transparency/regcomitology/index.cfm?do=Search.getPDF&amp;ds_id=50447&amp;version=1&amp;AttLang=en&amp;db_number=1&amp;docType=OTHER" TargetMode="External"/><Relationship Id="rId23" Type="http://schemas.openxmlformats.org/officeDocument/2006/relationships/hyperlink" Target="http://ec.europa.eu/transparency/regcomitology/index.cfm?do=search.dossierdetail&amp;Dos_ID=14282&amp;dos_year=2017&amp;dc_id=" TargetMode="External"/><Relationship Id="rId24" Type="http://schemas.openxmlformats.org/officeDocument/2006/relationships/hyperlink" Target="http://politico.us8.list-manage.com/track/click?u=e26c1a1c392386a968d02fdbc&amp;id=c2e7fdcb73&amp;e=7adfaa7137" TargetMode="External"/><Relationship Id="rId25" Type="http://schemas.openxmlformats.org/officeDocument/2006/relationships/hyperlink" Target="https://eugene.kaspersky.com/2016/11/10/thats-it-ive-had-enough/?utm_source=POLITICO.EU&amp;utm_campaign=6139a18bda-EMAIL_CAMPAIGN_2017_05_25&amp;utm_medium=email&amp;utm_term=0_10959edeb5-6139a18bda-189746689" TargetMode="External"/><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header" Target="header2.xml"/><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berec.europa.eu/eng/events/berec_events_2017/146-public-debriefing-from-31st-berec-plenary-meetings" TargetMode="External"/><Relationship Id="rId11" Type="http://schemas.openxmlformats.org/officeDocument/2006/relationships/hyperlink" Target="http://berec.europa.eu/eng/news_and_publications/whats_new/4344-berec-will-run-three-public-consultations-from-7-june-till-5-july-2017?utm_source=POLITICO.EU&amp;utm_campaign=6139a18bda-EMAIL_CAMPAIGN_2017_05_25&amp;utm_medium=email&amp;utm_term=0_10959edeb5-6139a18bda-189623937" TargetMode="External"/><Relationship Id="rId12" Type="http://schemas.openxmlformats.org/officeDocument/2006/relationships/hyperlink" Target="https://www.discuto.io/en/berec" TargetMode="External"/><Relationship Id="rId13" Type="http://schemas.openxmlformats.org/officeDocument/2006/relationships/hyperlink" Target="http://www.europarl.europa.eu/RegData/questions/reponses_qe/2017/002170/P8_RE(2017)002170_EN.pdf" TargetMode="External"/><Relationship Id="rId14" Type="http://schemas.openxmlformats.org/officeDocument/2006/relationships/hyperlink" Target="http://ec.europa.eu/info/content/public-consultation-database-directive-application-and-impact-0_en" TargetMode="External"/><Relationship Id="rId15" Type="http://schemas.openxmlformats.org/officeDocument/2006/relationships/hyperlink" Target="http://mmail.dods.co.uk/wf/click?upn=sZWInMjVbNzw-2BFEn-2BjSSyOTvJTz1WXoO-2FwhxgD5fl-2BjObe7KKe5Rl9YdFZPTX5z7s2BuU6AzXlL5PfvQ6SVtNQ-3D-3D_1-2B2i4NJ0yu0cCUcR-2FYNSScJLegSTKTPI45DnUmlLgU-2BHTwEc0ADP2I3-2Fbkua8EJ1CPf1pMe-2B2q0Bm27wXxCVpUOKBmoI7OcMuYfqwAs3bdm9vRMMImQULV7DKDFyXfANLQ6Ic-2F41ourU-2F5sp9-2F3vaxPxEQ-2Bq0Vtn3tiBL4NL-2F2Ohco-2FFsXMckR1ImLpDtQ0beH4ER4mvvUqlJDFIgt2275r8lZHAEnWo8MJS-2F3D6sWk-3D" TargetMode="External"/><Relationship Id="rId16" Type="http://schemas.openxmlformats.org/officeDocument/2006/relationships/hyperlink" Target="http://europa.eu/rapid/press-release_STATEMENT-17-1436_en.htm" TargetMode="External"/><Relationship Id="rId17" Type="http://schemas.openxmlformats.org/officeDocument/2006/relationships/hyperlink" Target="http://www.digitaleurope.org/DesktopModules/Bring2mind/DMX/Download.aspx?Command=Core_Download&amp;EntryId=2435&amp;language=en-US&amp;PortalId=0&amp;TabId=353" TargetMode="External"/><Relationship Id="rId18" Type="http://schemas.openxmlformats.org/officeDocument/2006/relationships/hyperlink" Target="https://www.conservatives.com/manifesto" TargetMode="External"/><Relationship Id="rId19" Type="http://schemas.openxmlformats.org/officeDocument/2006/relationships/hyperlink" Target="https://www.enisa.europa.eu/publications/enisa-position-papers-and-opinions/infineon-nxp-st-enisa-position-on-cybersecurity?utm_source=POLITICO.EU&amp;utm_campaign=f561170196-EMAIL_CAMPAIGN_2017_05_23&amp;utm_medium=email&amp;utm_term=0_10959edeb5-f561170196-189644601"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blog/1st-eu-mexico-dialogue-digital-economy-19th-may-2017-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40D7B-6104-294D-A90D-403A41953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2369</Words>
  <Characters>13083</Characters>
  <Application>Microsoft Macintosh Word</Application>
  <DocSecurity>0</DocSecurity>
  <Lines>225</Lines>
  <Paragraphs>75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15377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2017-05-29T09:00:00Z</dcterms:created>
  <dcterms:modified xsi:type="dcterms:W3CDTF">2017-05-29T09:07:00Z</dcterms:modified>
  <cp:category/>
</cp:coreProperties>
</file>